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896791">
      <w:pPr>
        <w:pStyle w:val="61"/>
        <w:snapToGrid/>
        <w:contextualSpacing/>
        <w:rPr>
          <w:rFonts w:hint="eastAsia" w:hAnsi="宋体" w:cs="Arial"/>
          <w:b/>
          <w:sz w:val="36"/>
          <w:szCs w:val="36"/>
        </w:rPr>
      </w:pPr>
      <w:bookmarkStart w:id="0" w:name="EB96da972056de4385935c5eeed9aedf73"/>
    </w:p>
    <w:p w14:paraId="3C5CE9F8">
      <w:pPr>
        <w:pStyle w:val="54"/>
        <w:spacing w:line="360" w:lineRule="auto"/>
        <w:contextualSpacing/>
      </w:pPr>
    </w:p>
    <w:p w14:paraId="0F2A1801">
      <w:pPr>
        <w:pStyle w:val="54"/>
        <w:spacing w:line="360" w:lineRule="auto"/>
        <w:contextualSpacing/>
      </w:pPr>
    </w:p>
    <w:p w14:paraId="5B7B8188">
      <w:pPr>
        <w:pStyle w:val="54"/>
        <w:spacing w:line="360" w:lineRule="auto"/>
        <w:contextualSpacing/>
      </w:pPr>
    </w:p>
    <w:p w14:paraId="52B633EE">
      <w:pPr>
        <w:pStyle w:val="54"/>
        <w:spacing w:line="360" w:lineRule="auto"/>
        <w:contextualSpacing/>
      </w:pPr>
    </w:p>
    <w:p w14:paraId="7887B838">
      <w:pPr>
        <w:pStyle w:val="54"/>
        <w:spacing w:line="360" w:lineRule="auto"/>
        <w:ind w:firstLine="0"/>
        <w:contextualSpacing/>
      </w:pPr>
    </w:p>
    <w:p w14:paraId="2B328FCE">
      <w:pPr>
        <w:pStyle w:val="54"/>
        <w:spacing w:line="360" w:lineRule="auto"/>
        <w:ind w:firstLine="0"/>
        <w:contextualSpacing/>
        <w:jc w:val="center"/>
        <w:rPr>
          <w:rFonts w:hint="eastAsia" w:ascii="仿宋_GB2312" w:hAnsi="仿宋_GB2312" w:eastAsia="仿宋_GB2312" w:cs="仿宋_GB2312"/>
          <w:b/>
          <w:sz w:val="56"/>
          <w:szCs w:val="56"/>
          <w:lang w:val="en-US" w:eastAsia="zh-CN"/>
        </w:rPr>
      </w:pPr>
      <w:r>
        <w:rPr>
          <w:rFonts w:hint="eastAsia" w:ascii="仿宋_GB2312" w:hAnsi="仿宋_GB2312" w:eastAsia="仿宋_GB2312" w:cs="仿宋_GB2312"/>
          <w:b/>
          <w:sz w:val="56"/>
          <w:szCs w:val="56"/>
          <w:lang w:val="en-US" w:eastAsia="zh-CN"/>
        </w:rPr>
        <w:t>广报阡陌间2026年至2028年</w:t>
      </w:r>
    </w:p>
    <w:p w14:paraId="41DE0A49">
      <w:pPr>
        <w:pStyle w:val="54"/>
        <w:spacing w:line="360" w:lineRule="auto"/>
        <w:ind w:firstLine="0"/>
        <w:contextualSpacing/>
        <w:jc w:val="center"/>
        <w:rPr>
          <w:rFonts w:hint="eastAsia" w:ascii="宋体" w:hAnsi="宋体"/>
          <w:color w:val="0000FF"/>
          <w:sz w:val="24"/>
        </w:rPr>
      </w:pPr>
      <w:r>
        <w:rPr>
          <w:rFonts w:hint="eastAsia" w:ascii="仿宋_GB2312" w:hAnsi="仿宋_GB2312" w:eastAsia="仿宋_GB2312" w:cs="仿宋_GB2312"/>
          <w:b/>
          <w:sz w:val="56"/>
          <w:szCs w:val="56"/>
          <w:lang w:val="en-US" w:eastAsia="zh-CN"/>
        </w:rPr>
        <w:t>消防系统维护保养服务</w:t>
      </w:r>
      <w:r>
        <w:rPr>
          <w:rFonts w:hint="eastAsia" w:ascii="仿宋_GB2312" w:hAnsi="仿宋_GB2312" w:eastAsia="仿宋_GB2312" w:cs="仿宋_GB2312"/>
          <w:b/>
          <w:sz w:val="56"/>
          <w:szCs w:val="56"/>
        </w:rPr>
        <w:t>合同</w:t>
      </w:r>
    </w:p>
    <w:p w14:paraId="641A1F7B">
      <w:pPr>
        <w:pStyle w:val="54"/>
        <w:spacing w:line="360" w:lineRule="auto"/>
        <w:contextualSpacing/>
        <w:rPr>
          <w:rFonts w:ascii="Tahoma" w:hAnsi="Tahoma"/>
          <w:sz w:val="24"/>
        </w:rPr>
      </w:pPr>
    </w:p>
    <w:p w14:paraId="50DB10A6">
      <w:pPr>
        <w:pStyle w:val="54"/>
        <w:spacing w:line="360" w:lineRule="auto"/>
        <w:contextualSpacing/>
        <w:rPr>
          <w:rFonts w:ascii="Tahoma" w:hAnsi="Tahoma"/>
          <w:sz w:val="24"/>
        </w:rPr>
      </w:pPr>
    </w:p>
    <w:p w14:paraId="67CDE7FA">
      <w:pPr>
        <w:pStyle w:val="54"/>
        <w:spacing w:line="360" w:lineRule="auto"/>
        <w:contextualSpacing/>
        <w:rPr>
          <w:rFonts w:ascii="Tahoma" w:hAnsi="Tahoma"/>
          <w:sz w:val="24"/>
        </w:rPr>
      </w:pPr>
    </w:p>
    <w:p w14:paraId="09CADDF2">
      <w:pPr>
        <w:pStyle w:val="54"/>
        <w:spacing w:line="360" w:lineRule="auto"/>
        <w:contextualSpacing/>
        <w:rPr>
          <w:rFonts w:ascii="Tahoma" w:hAnsi="Tahoma"/>
          <w:sz w:val="24"/>
        </w:rPr>
      </w:pPr>
    </w:p>
    <w:p w14:paraId="0FEA9E14">
      <w:pPr>
        <w:pStyle w:val="54"/>
        <w:spacing w:line="360" w:lineRule="auto"/>
        <w:contextualSpacing/>
        <w:rPr>
          <w:rFonts w:ascii="Tahoma" w:hAnsi="Tahoma"/>
          <w:sz w:val="24"/>
        </w:rPr>
      </w:pPr>
    </w:p>
    <w:p w14:paraId="407DF45D">
      <w:pPr>
        <w:pStyle w:val="54"/>
        <w:spacing w:line="360" w:lineRule="auto"/>
        <w:ind w:left="0" w:leftChars="0" w:firstLine="0" w:firstLineChars="0"/>
        <w:contextualSpacing/>
        <w:rPr>
          <w:rFonts w:ascii="Tahoma" w:hAnsi="Tahoma"/>
          <w:sz w:val="24"/>
        </w:rPr>
      </w:pPr>
    </w:p>
    <w:p w14:paraId="04556A24">
      <w:pPr>
        <w:pStyle w:val="54"/>
        <w:spacing w:line="360" w:lineRule="auto"/>
        <w:contextualSpacing/>
        <w:rPr>
          <w:rFonts w:ascii="Tahoma" w:hAnsi="Tahoma"/>
          <w:sz w:val="24"/>
        </w:rPr>
      </w:pPr>
    </w:p>
    <w:p w14:paraId="0AD134F0">
      <w:pPr>
        <w:pStyle w:val="54"/>
        <w:spacing w:line="360" w:lineRule="auto"/>
        <w:ind w:firstLine="0"/>
        <w:contextualSpacing/>
        <w:rPr>
          <w:rFonts w:ascii="Tahoma" w:hAnsi="Tahoma"/>
          <w:sz w:val="24"/>
        </w:rPr>
      </w:pPr>
    </w:p>
    <w:p w14:paraId="537DD530">
      <w:pPr>
        <w:pStyle w:val="54"/>
        <w:spacing w:line="360" w:lineRule="auto"/>
        <w:contextualSpacing/>
        <w:rPr>
          <w:rFonts w:ascii="Tahoma" w:hAnsi="Tahoma"/>
          <w:sz w:val="24"/>
        </w:rPr>
      </w:pPr>
    </w:p>
    <w:p w14:paraId="259C2C23">
      <w:pPr>
        <w:spacing w:line="360" w:lineRule="auto"/>
        <w:contextualSpacing/>
        <w:jc w:val="center"/>
        <w:rPr>
          <w:rFonts w:hint="eastAsia" w:ascii="宋体" w:hAnsi="宋体" w:cs="宋体"/>
          <w:b/>
          <w:bCs/>
          <w:color w:val="000000"/>
          <w:kern w:val="0"/>
          <w:sz w:val="36"/>
          <w:szCs w:val="36"/>
          <w:lang w:bidi="ar"/>
        </w:rPr>
      </w:pPr>
      <w:r>
        <w:rPr>
          <w:rFonts w:hint="eastAsia" w:ascii="宋体" w:hAnsi="宋体" w:cs="宋体"/>
          <w:b/>
          <w:bCs/>
          <w:color w:val="000000"/>
          <w:kern w:val="0"/>
          <w:sz w:val="36"/>
          <w:szCs w:val="36"/>
          <w:lang w:bidi="ar"/>
        </w:rPr>
        <w:t>甲方：广州市广报产业园投资有限公司</w:t>
      </w:r>
    </w:p>
    <w:p w14:paraId="279820F7">
      <w:pPr>
        <w:ind w:leftChars="-135" w:hanging="283" w:hangingChars="64"/>
        <w:contextualSpacing/>
        <w:jc w:val="left"/>
        <w:rPr>
          <w:rFonts w:hint="eastAsia" w:ascii="楷体" w:hAnsi="楷体" w:eastAsia="楷体" w:cs="楷体"/>
          <w:b/>
          <w:bCs/>
          <w:sz w:val="44"/>
          <w:szCs w:val="44"/>
        </w:rPr>
      </w:pPr>
    </w:p>
    <w:p w14:paraId="5831E07C">
      <w:pPr>
        <w:spacing w:line="360" w:lineRule="auto"/>
        <w:ind w:left="-52" w:leftChars="-135" w:hanging="231" w:hangingChars="64"/>
        <w:contextualSpacing/>
        <w:jc w:val="left"/>
        <w:rPr>
          <w:rFonts w:hint="eastAsia" w:ascii="仿宋_GB2312" w:hAnsi="仿宋_GB2312" w:eastAsia="仿宋_GB2312" w:cs="仿宋_GB2312"/>
          <w:b/>
          <w:bCs/>
          <w:sz w:val="36"/>
          <w:szCs w:val="36"/>
        </w:rPr>
      </w:pPr>
    </w:p>
    <w:p w14:paraId="3ADB4589">
      <w:pPr>
        <w:spacing w:line="360" w:lineRule="auto"/>
        <w:ind w:firstLine="1084" w:firstLineChars="300"/>
        <w:contextualSpacing/>
        <w:jc w:val="both"/>
        <w:rPr>
          <w:rFonts w:hint="eastAsia" w:ascii="宋体" w:hAnsi="宋体" w:eastAsia="宋体" w:cs="宋体"/>
          <w:b/>
          <w:bCs/>
          <w:color w:val="000000"/>
          <w:kern w:val="0"/>
          <w:sz w:val="36"/>
          <w:szCs w:val="36"/>
          <w:highlight w:val="yellow"/>
          <w:lang w:val="en-US" w:eastAsia="zh-CN" w:bidi="ar"/>
        </w:rPr>
      </w:pPr>
      <w:r>
        <w:rPr>
          <w:rFonts w:hint="eastAsia" w:ascii="宋体" w:hAnsi="宋体" w:eastAsia="宋体" w:cs="宋体"/>
          <w:b/>
          <w:bCs/>
          <w:color w:val="000000"/>
          <w:kern w:val="0"/>
          <w:sz w:val="36"/>
          <w:szCs w:val="36"/>
          <w:highlight w:val="yellow"/>
          <w:lang w:bidi="ar"/>
        </w:rPr>
        <w:t>乙方：</w:t>
      </w:r>
    </w:p>
    <w:p w14:paraId="248517DF">
      <w:pPr>
        <w:spacing w:line="360" w:lineRule="auto"/>
        <w:ind w:firstLine="1325" w:firstLineChars="300"/>
        <w:contextualSpacing/>
        <w:jc w:val="both"/>
        <w:rPr>
          <w:rFonts w:hint="eastAsia" w:ascii="仿宋_GB2312" w:hAnsi="仿宋_GB2312" w:eastAsia="仿宋_GB2312" w:cs="仿宋_GB2312"/>
          <w:b/>
          <w:bCs/>
          <w:sz w:val="44"/>
          <w:szCs w:val="44"/>
          <w:highlight w:val="yellow"/>
        </w:rPr>
      </w:pPr>
    </w:p>
    <w:p w14:paraId="538B219F">
      <w:pPr>
        <w:spacing w:line="360" w:lineRule="auto"/>
        <w:ind w:firstLine="1080" w:firstLineChars="300"/>
        <w:contextualSpacing/>
        <w:jc w:val="both"/>
        <w:rPr>
          <w:rFonts w:ascii="Tahoma" w:hAnsi="Tahoma"/>
          <w:sz w:val="36"/>
          <w:szCs w:val="36"/>
          <w:highlight w:val="yellow"/>
        </w:rPr>
      </w:pPr>
    </w:p>
    <w:p w14:paraId="01E7DC7B">
      <w:pPr>
        <w:pStyle w:val="54"/>
        <w:spacing w:line="360" w:lineRule="auto"/>
        <w:contextualSpacing/>
        <w:rPr>
          <w:rFonts w:ascii="Tahoma" w:hAnsi="Tahoma"/>
          <w:sz w:val="24"/>
        </w:rPr>
      </w:pPr>
    </w:p>
    <w:p w14:paraId="7E656AA4">
      <w:pPr>
        <w:pStyle w:val="54"/>
        <w:spacing w:line="360" w:lineRule="auto"/>
        <w:contextualSpacing/>
        <w:rPr>
          <w:rFonts w:ascii="Tahoma" w:hAnsi="Tahoma"/>
          <w:sz w:val="24"/>
        </w:rPr>
      </w:pPr>
    </w:p>
    <w:p w14:paraId="7C25724E">
      <w:pPr>
        <w:pStyle w:val="54"/>
        <w:spacing w:line="360" w:lineRule="auto"/>
        <w:contextualSpacing/>
        <w:rPr>
          <w:rFonts w:ascii="Tahoma" w:hAnsi="Tahoma"/>
          <w:sz w:val="24"/>
        </w:rPr>
        <w:sectPr>
          <w:headerReference r:id="rId4" w:type="first"/>
          <w:headerReference r:id="rId3" w:type="default"/>
          <w:foot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3C9D1564">
      <w:pPr>
        <w:pStyle w:val="55"/>
        <w:tabs>
          <w:tab w:val="left" w:pos="840"/>
        </w:tabs>
        <w:contextualSpacing/>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b/>
          <w:sz w:val="28"/>
          <w:szCs w:val="28"/>
          <w:highlight w:val="none"/>
        </w:rPr>
        <w:t>一、总    则</w:t>
      </w:r>
    </w:p>
    <w:p w14:paraId="56BC0707">
      <w:pPr>
        <w:rPr>
          <w:rFonts w:hint="eastAsia" w:ascii="楷体" w:hAnsi="楷体" w:eastAsia="楷体" w:cs="楷体"/>
          <w:b/>
          <w:bCs/>
          <w:sz w:val="32"/>
          <w:szCs w:val="32"/>
          <w:highlight w:val="none"/>
        </w:rPr>
      </w:pPr>
      <w:r>
        <w:rPr>
          <w:rFonts w:hint="eastAsia" w:ascii="仿宋_GB2312" w:hAnsi="仿宋_GB2312" w:eastAsia="仿宋_GB2312" w:cs="仿宋_GB2312"/>
          <w:sz w:val="28"/>
          <w:szCs w:val="28"/>
          <w:highlight w:val="none"/>
        </w:rPr>
        <w:t>甲 方：广州市广报产业园投资有限公司</w:t>
      </w:r>
    </w:p>
    <w:p w14:paraId="766E85D9">
      <w:pPr>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rPr>
        <w:t>统一社会信用代码：91440105MADAJN9976</w:t>
      </w:r>
    </w:p>
    <w:p w14:paraId="13F93A1B">
      <w:pPr>
        <w:pStyle w:val="61"/>
        <w:contextualSpacing/>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乙 方：</w:t>
      </w:r>
    </w:p>
    <w:p w14:paraId="304D4321">
      <w:pPr>
        <w:pStyle w:val="61"/>
        <w:contextualSpacing/>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统一社会信用代码：</w:t>
      </w:r>
    </w:p>
    <w:p w14:paraId="7A6DE5C5">
      <w:pPr>
        <w:pStyle w:val="61"/>
        <w:ind w:firstLine="560" w:firstLineChars="200"/>
        <w:contextualSpacing/>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根据《中华人民共和国民法典》“</w:t>
      </w:r>
      <w:r>
        <w:rPr>
          <w:rFonts w:hint="eastAsia" w:ascii="仿宋_GB2312" w:hAnsi="仿宋_GB2312" w:eastAsia="仿宋_GB2312" w:cs="仿宋_GB2312"/>
          <w:sz w:val="28"/>
          <w:szCs w:val="28"/>
          <w:highlight w:val="none"/>
          <w:lang w:eastAsia="zh-CN"/>
        </w:rPr>
        <w:t>广报阡陌间2026年至2028年消防系统维护保养服务</w:t>
      </w:r>
      <w:r>
        <w:rPr>
          <w:rFonts w:hint="eastAsia" w:ascii="仿宋_GB2312" w:hAnsi="仿宋_GB2312" w:eastAsia="仿宋_GB2312" w:cs="仿宋_GB2312"/>
          <w:sz w:val="28"/>
          <w:szCs w:val="28"/>
          <w:highlight w:val="none"/>
        </w:rPr>
        <w:t>”采购文件的要求和采购结果，经甲乙双方协商一致，签订本合同。双方共同遵守如下条款（其他有关合同项目的特定信息由合同附件予以说明，合同附件及本项目的有关采购文件、在实施过程中双方共同签署的补充文件等均为本合同不可分割之一部分）。</w:t>
      </w:r>
    </w:p>
    <w:p w14:paraId="4461FF86">
      <w:pPr>
        <w:pStyle w:val="60"/>
        <w:numPr>
          <w:ilvl w:val="0"/>
          <w:numId w:val="1"/>
        </w:numPr>
        <w:tabs>
          <w:tab w:val="left" w:pos="567"/>
          <w:tab w:val="left" w:pos="3969"/>
          <w:tab w:val="left" w:pos="4111"/>
          <w:tab w:val="left" w:pos="4253"/>
          <w:tab w:val="left" w:pos="4536"/>
        </w:tabs>
        <w:spacing w:line="360" w:lineRule="auto"/>
        <w:contextualSpacing/>
        <w:jc w:val="center"/>
        <w:rPr>
          <w:rFonts w:hint="default" w:ascii="仿宋_GB2312" w:hAnsi="仿宋_GB2312" w:eastAsia="仿宋_GB2312" w:cs="仿宋_GB2312"/>
          <w:b/>
          <w:sz w:val="28"/>
          <w:szCs w:val="28"/>
          <w:highlight w:val="none"/>
          <w:lang w:val="en-US"/>
        </w:rPr>
      </w:pPr>
      <w:r>
        <w:rPr>
          <w:rFonts w:hint="eastAsia" w:ascii="仿宋_GB2312" w:hAnsi="仿宋_GB2312" w:eastAsia="仿宋_GB2312" w:cs="仿宋_GB2312"/>
          <w:b/>
          <w:sz w:val="28"/>
          <w:szCs w:val="28"/>
          <w:highlight w:val="none"/>
        </w:rPr>
        <w:t>服务</w:t>
      </w:r>
      <w:r>
        <w:rPr>
          <w:rFonts w:hint="eastAsia" w:ascii="仿宋_GB2312" w:hAnsi="仿宋_GB2312" w:eastAsia="仿宋_GB2312" w:cs="仿宋_GB2312"/>
          <w:b/>
          <w:sz w:val="28"/>
          <w:szCs w:val="28"/>
          <w:highlight w:val="none"/>
          <w:lang w:val="en-US" w:eastAsia="zh-CN"/>
        </w:rPr>
        <w:t>时间及服务金额</w:t>
      </w:r>
    </w:p>
    <w:p w14:paraId="5E420E03">
      <w:pPr>
        <w:pStyle w:val="60"/>
        <w:tabs>
          <w:tab w:val="left" w:pos="567"/>
          <w:tab w:val="left" w:pos="3969"/>
          <w:tab w:val="left" w:pos="4111"/>
          <w:tab w:val="left" w:pos="4253"/>
          <w:tab w:val="left" w:pos="4536"/>
        </w:tabs>
        <w:spacing w:line="360" w:lineRule="auto"/>
        <w:contextualSpacing/>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（一）服务时间：</w:t>
      </w:r>
      <w:r>
        <w:rPr>
          <w:rFonts w:hint="eastAsia" w:ascii="仿宋_GB2312" w:hAnsi="仿宋_GB2312" w:eastAsia="仿宋_GB2312" w:cs="仿宋_GB2312"/>
          <w:sz w:val="28"/>
          <w:szCs w:val="28"/>
          <w:highlight w:val="none"/>
          <w:u w:val="single"/>
        </w:rPr>
        <w:t>202</w:t>
      </w:r>
      <w:r>
        <w:rPr>
          <w:rFonts w:hint="eastAsia" w:ascii="仿宋_GB2312" w:hAnsi="仿宋_GB2312" w:eastAsia="仿宋_GB2312" w:cs="仿宋_GB2312"/>
          <w:sz w:val="28"/>
          <w:szCs w:val="28"/>
          <w:highlight w:val="none"/>
          <w:u w:val="single"/>
          <w:lang w:val="en-US" w:eastAsia="zh-CN"/>
        </w:rPr>
        <w:t>6</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single"/>
          <w:lang w:val="en-US" w:eastAsia="zh-CN"/>
        </w:rPr>
        <w:t>2</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single"/>
          <w:lang w:val="en-US" w:eastAsia="zh-CN"/>
        </w:rPr>
        <w:t>11</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日至</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single"/>
          <w:lang w:eastAsia="zh-CN"/>
        </w:rPr>
        <w:t>202</w:t>
      </w:r>
      <w:r>
        <w:rPr>
          <w:rFonts w:hint="eastAsia" w:ascii="仿宋_GB2312" w:hAnsi="仿宋_GB2312" w:eastAsia="仿宋_GB2312" w:cs="仿宋_GB2312"/>
          <w:sz w:val="28"/>
          <w:szCs w:val="28"/>
          <w:highlight w:val="none"/>
          <w:u w:val="single"/>
          <w:lang w:val="en-US" w:eastAsia="zh-CN"/>
        </w:rPr>
        <w:t>8</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single"/>
          <w:lang w:val="en-US" w:eastAsia="zh-CN"/>
        </w:rPr>
        <w:t>2</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single"/>
          <w:lang w:val="en-US" w:eastAsia="zh-CN"/>
        </w:rPr>
        <w:t>10</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日，服务期限为</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年。</w:t>
      </w:r>
    </w:p>
    <w:p w14:paraId="47E2C532">
      <w:pPr>
        <w:pStyle w:val="60"/>
        <w:tabs>
          <w:tab w:val="left" w:pos="567"/>
          <w:tab w:val="left" w:pos="3969"/>
          <w:tab w:val="left" w:pos="4111"/>
          <w:tab w:val="left" w:pos="4253"/>
          <w:tab w:val="left" w:pos="4536"/>
        </w:tabs>
        <w:spacing w:line="360" w:lineRule="auto"/>
        <w:contextualSpacing/>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yellow"/>
        </w:rPr>
        <w:t>（二）合同金额：人民币（大写）</w:t>
      </w:r>
      <w:r>
        <w:rPr>
          <w:rFonts w:hint="eastAsia" w:ascii="仿宋_GB2312" w:hAnsi="仿宋_GB2312" w:eastAsia="仿宋_GB2312" w:cs="仿宋_GB2312"/>
          <w:color w:val="000000"/>
          <w:sz w:val="28"/>
          <w:szCs w:val="28"/>
          <w:highlight w:val="yellow"/>
          <w:u w:val="single"/>
        </w:rPr>
        <w:t xml:space="preserve"> </w:t>
      </w:r>
      <w:r>
        <w:rPr>
          <w:rFonts w:hint="eastAsia" w:ascii="仿宋_GB2312" w:hAnsi="仿宋_GB2312" w:eastAsia="仿宋_GB2312" w:cs="仿宋_GB2312"/>
          <w:color w:val="000000"/>
          <w:sz w:val="28"/>
          <w:szCs w:val="28"/>
          <w:highlight w:val="yellow"/>
          <w:u w:val="single"/>
          <w:lang w:val="en-US" w:eastAsia="zh-CN"/>
        </w:rPr>
        <w:t xml:space="preserve"> </w:t>
      </w:r>
      <w:r>
        <w:rPr>
          <w:rFonts w:hint="eastAsia" w:ascii="仿宋_GB2312" w:hAnsi="仿宋_GB2312" w:eastAsia="仿宋_GB2312" w:cs="仿宋_GB2312"/>
          <w:color w:val="000000"/>
          <w:sz w:val="28"/>
          <w:szCs w:val="28"/>
          <w:highlight w:val="yellow"/>
          <w:u w:val="single"/>
        </w:rPr>
        <w:t xml:space="preserve"> </w:t>
      </w:r>
      <w:r>
        <w:rPr>
          <w:rFonts w:hint="eastAsia" w:ascii="仿宋_GB2312" w:hAnsi="仿宋_GB2312" w:eastAsia="仿宋_GB2312" w:cs="仿宋_GB2312"/>
          <w:color w:val="000000"/>
          <w:sz w:val="28"/>
          <w:szCs w:val="28"/>
          <w:highlight w:val="yellow"/>
        </w:rPr>
        <w:t>（￥</w:t>
      </w:r>
      <w:r>
        <w:rPr>
          <w:rFonts w:hint="eastAsia" w:ascii="仿宋_GB2312" w:hAnsi="仿宋_GB2312" w:eastAsia="仿宋_GB2312" w:cs="仿宋_GB2312"/>
          <w:color w:val="000000"/>
          <w:sz w:val="28"/>
          <w:szCs w:val="28"/>
          <w:highlight w:val="yellow"/>
          <w:u w:val="single"/>
          <w:lang w:val="en-US" w:eastAsia="zh-CN"/>
        </w:rPr>
        <w:t xml:space="preserve">  </w:t>
      </w:r>
      <w:r>
        <w:rPr>
          <w:rFonts w:hint="eastAsia" w:ascii="仿宋_GB2312" w:hAnsi="仿宋_GB2312" w:eastAsia="仿宋_GB2312" w:cs="仿宋_GB2312"/>
          <w:color w:val="000000"/>
          <w:sz w:val="28"/>
          <w:szCs w:val="28"/>
          <w:highlight w:val="yellow"/>
        </w:rPr>
        <w:t>元），其中不含税金额</w:t>
      </w:r>
      <w:r>
        <w:rPr>
          <w:rFonts w:hint="eastAsia" w:ascii="仿宋_GB2312" w:hAnsi="仿宋_GB2312" w:eastAsia="仿宋_GB2312" w:cs="仿宋_GB2312"/>
          <w:color w:val="000000"/>
          <w:sz w:val="28"/>
          <w:szCs w:val="28"/>
          <w:highlight w:val="yellow"/>
          <w:u w:val="single"/>
        </w:rPr>
        <w:t xml:space="preserve">  </w:t>
      </w:r>
      <w:r>
        <w:rPr>
          <w:rFonts w:hint="eastAsia" w:ascii="仿宋_GB2312" w:hAnsi="仿宋_GB2312" w:eastAsia="仿宋_GB2312" w:cs="仿宋_GB2312"/>
          <w:color w:val="000000"/>
          <w:sz w:val="28"/>
          <w:szCs w:val="28"/>
          <w:highlight w:val="yellow"/>
        </w:rPr>
        <w:t>元，税金</w:t>
      </w:r>
      <w:r>
        <w:rPr>
          <w:rFonts w:hint="eastAsia" w:ascii="仿宋_GB2312" w:hAnsi="仿宋_GB2312" w:eastAsia="仿宋_GB2312" w:cs="仿宋_GB2312"/>
          <w:color w:val="000000"/>
          <w:sz w:val="28"/>
          <w:szCs w:val="28"/>
          <w:highlight w:val="yellow"/>
          <w:u w:val="single"/>
        </w:rPr>
        <w:t xml:space="preserve">  </w:t>
      </w:r>
      <w:r>
        <w:rPr>
          <w:rFonts w:hint="eastAsia" w:ascii="仿宋_GB2312" w:hAnsi="仿宋_GB2312" w:eastAsia="仿宋_GB2312" w:cs="仿宋_GB2312"/>
          <w:color w:val="000000"/>
          <w:sz w:val="28"/>
          <w:szCs w:val="28"/>
          <w:highlight w:val="yellow"/>
        </w:rPr>
        <w:t>元，税率</w:t>
      </w:r>
      <w:r>
        <w:rPr>
          <w:rFonts w:hint="eastAsia" w:ascii="仿宋_GB2312" w:hAnsi="仿宋_GB2312" w:eastAsia="仿宋_GB2312" w:cs="仿宋_GB2312"/>
          <w:color w:val="000000"/>
          <w:sz w:val="28"/>
          <w:szCs w:val="28"/>
          <w:highlight w:val="yellow"/>
          <w:u w:val="single"/>
        </w:rPr>
        <w:t xml:space="preserve">  </w:t>
      </w:r>
      <w:r>
        <w:rPr>
          <w:rFonts w:hint="eastAsia" w:ascii="仿宋_GB2312" w:hAnsi="仿宋_GB2312" w:eastAsia="仿宋_GB2312" w:cs="仿宋_GB2312"/>
          <w:color w:val="000000"/>
          <w:sz w:val="28"/>
          <w:szCs w:val="28"/>
          <w:highlight w:val="yellow"/>
        </w:rPr>
        <w:t>%</w:t>
      </w:r>
      <w:r>
        <w:rPr>
          <w:rFonts w:hint="eastAsia" w:ascii="仿宋_GB2312" w:hAnsi="仿宋_GB2312" w:eastAsia="仿宋_GB2312" w:cs="仿宋_GB2312"/>
          <w:color w:val="000000"/>
          <w:sz w:val="28"/>
          <w:szCs w:val="28"/>
          <w:highlight w:val="yellow"/>
          <w:lang w:eastAsia="zh-CN"/>
        </w:rPr>
        <w:t>（</w:t>
      </w:r>
      <w:r>
        <w:rPr>
          <w:rFonts w:hint="eastAsia" w:ascii="仿宋_GB2312" w:hAnsi="仿宋_GB2312" w:eastAsia="仿宋_GB2312" w:cs="仿宋_GB2312"/>
          <w:color w:val="000000"/>
          <w:sz w:val="28"/>
          <w:szCs w:val="28"/>
          <w:highlight w:val="yellow"/>
          <w:lang w:val="en-US" w:eastAsia="zh-CN"/>
        </w:rPr>
        <w:t>如遇税率调整，应按原不含税金额*新的适用税率进行结算</w:t>
      </w:r>
      <w:r>
        <w:rPr>
          <w:rFonts w:hint="eastAsia" w:ascii="仿宋_GB2312" w:hAnsi="仿宋_GB2312" w:eastAsia="仿宋_GB2312" w:cs="仿宋_GB2312"/>
          <w:color w:val="000000"/>
          <w:sz w:val="28"/>
          <w:szCs w:val="28"/>
          <w:highlight w:val="yellow"/>
          <w:lang w:eastAsia="zh-CN"/>
        </w:rPr>
        <w:t>）</w:t>
      </w:r>
      <w:r>
        <w:rPr>
          <w:rFonts w:hint="eastAsia" w:ascii="仿宋_GB2312" w:hAnsi="仿宋_GB2312" w:eastAsia="仿宋_GB2312" w:cs="仿宋_GB2312"/>
          <w:color w:val="000000"/>
          <w:sz w:val="28"/>
          <w:szCs w:val="28"/>
          <w:highlight w:val="yellow"/>
        </w:rPr>
        <w:t>。</w:t>
      </w:r>
    </w:p>
    <w:p w14:paraId="71FC2650">
      <w:pPr>
        <w:pStyle w:val="60"/>
        <w:numPr>
          <w:ilvl w:val="0"/>
          <w:numId w:val="1"/>
        </w:numPr>
        <w:tabs>
          <w:tab w:val="left" w:pos="567"/>
          <w:tab w:val="left" w:pos="3969"/>
          <w:tab w:val="left" w:pos="4111"/>
          <w:tab w:val="left" w:pos="4253"/>
          <w:tab w:val="left" w:pos="4536"/>
        </w:tabs>
        <w:spacing w:line="360" w:lineRule="auto"/>
        <w:contextualSpacing/>
        <w:jc w:val="center"/>
        <w:rPr>
          <w:rFonts w:hint="default" w:ascii="仿宋_GB2312" w:hAnsi="仿宋_GB2312" w:eastAsia="仿宋_GB2312" w:cs="仿宋_GB2312"/>
          <w:b/>
          <w:sz w:val="28"/>
          <w:szCs w:val="28"/>
          <w:highlight w:val="none"/>
          <w:lang w:val="en-US" w:eastAsia="zh-CN"/>
        </w:rPr>
      </w:pPr>
      <w:r>
        <w:rPr>
          <w:rFonts w:hint="eastAsia" w:ascii="仿宋_GB2312" w:hAnsi="仿宋_GB2312" w:eastAsia="仿宋_GB2312" w:cs="仿宋_GB2312"/>
          <w:b/>
          <w:sz w:val="28"/>
          <w:szCs w:val="28"/>
          <w:highlight w:val="none"/>
          <w:lang w:val="en-US" w:eastAsia="zh-CN"/>
        </w:rPr>
        <w:t>付款方式</w:t>
      </w:r>
    </w:p>
    <w:p w14:paraId="65D29432">
      <w:pPr>
        <w:pStyle w:val="60"/>
        <w:tabs>
          <w:tab w:val="left" w:pos="567"/>
          <w:tab w:val="left" w:pos="3969"/>
          <w:tab w:val="left" w:pos="4111"/>
          <w:tab w:val="left" w:pos="4253"/>
          <w:tab w:val="left" w:pos="4536"/>
        </w:tabs>
        <w:spacing w:line="360" w:lineRule="auto"/>
        <w:ind w:firstLine="560" w:firstLineChars="200"/>
        <w:contextualSpacing/>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highlight w:val="yellow"/>
          <w:lang w:eastAsia="zh-CN"/>
        </w:rPr>
        <w:t>（</w:t>
      </w:r>
      <w:r>
        <w:rPr>
          <w:rFonts w:hint="eastAsia" w:ascii="仿宋_GB2312" w:hAnsi="仿宋_GB2312" w:eastAsia="仿宋_GB2312" w:cs="仿宋_GB2312"/>
          <w:color w:val="000000"/>
          <w:sz w:val="28"/>
          <w:szCs w:val="28"/>
          <w:highlight w:val="yellow"/>
          <w:lang w:val="en-US" w:eastAsia="zh-CN"/>
        </w:rPr>
        <w:t>此条款支付金额待定，中标价确定后完善</w:t>
      </w:r>
      <w:r>
        <w:rPr>
          <w:rFonts w:hint="eastAsia" w:ascii="仿宋_GB2312" w:hAnsi="仿宋_GB2312" w:eastAsia="仿宋_GB2312" w:cs="仿宋_GB2312"/>
          <w:color w:val="000000"/>
          <w:sz w:val="28"/>
          <w:szCs w:val="28"/>
          <w:highlight w:val="yellow"/>
          <w:lang w:eastAsia="zh-CN"/>
        </w:rPr>
        <w:t>）</w:t>
      </w:r>
      <w:r>
        <w:rPr>
          <w:rFonts w:hint="eastAsia" w:ascii="仿宋_GB2312" w:hAnsi="仿宋_GB2312" w:eastAsia="仿宋_GB2312" w:cs="仿宋_GB2312"/>
          <w:color w:val="000000"/>
          <w:sz w:val="28"/>
          <w:szCs w:val="28"/>
          <w:highlight w:val="none"/>
          <w:lang w:eastAsia="zh-CN"/>
        </w:rPr>
        <w:t>在合同期内</w:t>
      </w:r>
      <w:r>
        <w:rPr>
          <w:rFonts w:hint="eastAsia" w:ascii="仿宋_GB2312" w:hAnsi="仿宋_GB2312" w:eastAsia="仿宋_GB2312" w:cs="仿宋_GB2312"/>
          <w:color w:val="000000"/>
          <w:sz w:val="28"/>
          <w:szCs w:val="28"/>
          <w:highlight w:val="none"/>
          <w:lang w:val="en-US" w:eastAsia="zh-CN"/>
        </w:rPr>
        <w:t>服务费</w:t>
      </w:r>
      <w:r>
        <w:rPr>
          <w:rFonts w:hint="eastAsia" w:ascii="仿宋_GB2312" w:hAnsi="仿宋_GB2312" w:eastAsia="仿宋_GB2312" w:cs="仿宋_GB2312"/>
          <w:color w:val="000000"/>
          <w:sz w:val="28"/>
          <w:szCs w:val="28"/>
          <w:highlight w:val="none"/>
          <w:lang w:eastAsia="zh-CN"/>
        </w:rPr>
        <w:t>分</w:t>
      </w:r>
      <w:r>
        <w:rPr>
          <w:rFonts w:hint="eastAsia" w:ascii="仿宋_GB2312" w:hAnsi="仿宋_GB2312" w:eastAsia="仿宋_GB2312" w:cs="仿宋_GB2312"/>
          <w:color w:val="000000"/>
          <w:sz w:val="28"/>
          <w:szCs w:val="28"/>
          <w:highlight w:val="none"/>
          <w:lang w:val="en-US" w:eastAsia="zh-CN"/>
        </w:rPr>
        <w:t>八</w:t>
      </w:r>
      <w:r>
        <w:rPr>
          <w:rFonts w:hint="eastAsia" w:ascii="仿宋_GB2312" w:hAnsi="仿宋_GB2312" w:eastAsia="仿宋_GB2312" w:cs="仿宋_GB2312"/>
          <w:color w:val="000000"/>
          <w:sz w:val="28"/>
          <w:szCs w:val="28"/>
          <w:highlight w:val="none"/>
          <w:lang w:eastAsia="zh-CN"/>
        </w:rPr>
        <w:t>次支付，即每三个月支付一次，</w:t>
      </w:r>
      <w:r>
        <w:rPr>
          <w:rFonts w:hint="eastAsia" w:ascii="仿宋_GB2312" w:hAnsi="仿宋_GB2312" w:eastAsia="仿宋_GB2312" w:cs="仿宋_GB2312"/>
          <w:color w:val="000000"/>
          <w:sz w:val="28"/>
          <w:szCs w:val="28"/>
          <w:highlight w:val="none"/>
          <w:lang w:val="en-US" w:eastAsia="zh-CN"/>
        </w:rPr>
        <w:t>前七次每</w:t>
      </w:r>
      <w:r>
        <w:rPr>
          <w:rFonts w:hint="eastAsia" w:ascii="仿宋_GB2312" w:hAnsi="仿宋_GB2312" w:eastAsia="仿宋_GB2312" w:cs="仿宋_GB2312"/>
          <w:color w:val="000000"/>
          <w:sz w:val="28"/>
          <w:szCs w:val="28"/>
          <w:highlight w:val="yellow"/>
          <w:lang w:val="en-US" w:eastAsia="zh-CN"/>
        </w:rPr>
        <w:t>次  元</w:t>
      </w:r>
      <w:r>
        <w:rPr>
          <w:rFonts w:hint="eastAsia" w:ascii="仿宋_GB2312" w:hAnsi="仿宋_GB2312" w:eastAsia="仿宋_GB2312" w:cs="仿宋_GB2312"/>
          <w:color w:val="000000"/>
          <w:sz w:val="28"/>
          <w:szCs w:val="28"/>
          <w:highlight w:val="none"/>
          <w:lang w:val="en-US" w:eastAsia="zh-CN"/>
        </w:rPr>
        <w:t>（含税，具体金额将依据甲方所出具的季度评分表是否存在扣减情况而定 ），第八</w:t>
      </w:r>
      <w:r>
        <w:rPr>
          <w:rFonts w:hint="eastAsia" w:ascii="仿宋_GB2312" w:hAnsi="仿宋_GB2312" w:eastAsia="仿宋_GB2312" w:cs="仿宋_GB2312"/>
          <w:color w:val="000000"/>
          <w:sz w:val="28"/>
          <w:szCs w:val="28"/>
          <w:highlight w:val="yellow"/>
          <w:lang w:val="en-US" w:eastAsia="zh-CN"/>
        </w:rPr>
        <w:t>次  元</w:t>
      </w:r>
      <w:r>
        <w:rPr>
          <w:rFonts w:hint="eastAsia" w:ascii="仿宋_GB2312" w:hAnsi="仿宋_GB2312" w:eastAsia="仿宋_GB2312" w:cs="仿宋_GB2312"/>
          <w:color w:val="000000"/>
          <w:sz w:val="28"/>
          <w:szCs w:val="28"/>
          <w:highlight w:val="none"/>
          <w:lang w:val="en-US" w:eastAsia="zh-CN"/>
        </w:rPr>
        <w:t>(含税，具体金额将依据甲方所出具的季度评分表是否存在扣减情况而定)，乙方应在每服务季度结束后的次月向甲方提交请款材料</w:t>
      </w:r>
      <w:r>
        <w:rPr>
          <w:rFonts w:hint="eastAsia" w:ascii="仿宋_GB2312" w:hAnsi="仿宋_GB2312" w:eastAsia="仿宋_GB2312" w:cs="仿宋_GB2312"/>
          <w:color w:val="000000"/>
          <w:sz w:val="28"/>
          <w:szCs w:val="28"/>
          <w:highlight w:val="none"/>
          <w:lang w:eastAsia="zh-CN"/>
        </w:rPr>
        <w:t>。每次支付前，乙方应提供等额的增值税专用发票，甲方在收齐资料（</w:t>
      </w:r>
      <w:r>
        <w:rPr>
          <w:rFonts w:hint="eastAsia" w:ascii="仿宋_GB2312" w:hAnsi="仿宋_GB2312" w:eastAsia="仿宋_GB2312" w:cs="仿宋_GB2312"/>
          <w:color w:val="000000"/>
          <w:sz w:val="28"/>
          <w:szCs w:val="28"/>
          <w:highlight w:val="none"/>
          <w:lang w:val="en-US" w:eastAsia="zh-CN"/>
        </w:rPr>
        <w:t>含本合同约定的各类报告及评分表</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lang w:val="en-US" w:eastAsia="zh-CN"/>
        </w:rPr>
        <w:t>并确认结算费用后的</w:t>
      </w:r>
      <w:r>
        <w:rPr>
          <w:rFonts w:hint="eastAsia" w:ascii="仿宋_GB2312" w:hAnsi="仿宋_GB2312" w:eastAsia="仿宋_GB2312" w:cs="仿宋_GB2312"/>
          <w:color w:val="000000"/>
          <w:sz w:val="28"/>
          <w:szCs w:val="28"/>
          <w:highlight w:val="none"/>
          <w:lang w:eastAsia="zh-CN"/>
        </w:rPr>
        <w:t>10个工作日内完成支付。若乙方存在未整改的问题，甲方有权暂停支付相应款项，直至整改合格后再行支付，暂停支付期间不计算利息。</w:t>
      </w:r>
    </w:p>
    <w:p w14:paraId="420845B0">
      <w:pPr>
        <w:pStyle w:val="60"/>
        <w:tabs>
          <w:tab w:val="left" w:pos="567"/>
          <w:tab w:val="left" w:pos="3969"/>
          <w:tab w:val="left" w:pos="4111"/>
          <w:tab w:val="left" w:pos="4253"/>
          <w:tab w:val="left" w:pos="4536"/>
        </w:tabs>
        <w:spacing w:line="360" w:lineRule="auto"/>
        <w:ind w:firstLine="560" w:firstLineChars="200"/>
        <w:contextualSpacing/>
        <w:rPr>
          <w:rFonts w:hint="eastAsia" w:ascii="仿宋_GB2312" w:hAnsi="仿宋_GB2312" w:eastAsia="仿宋_GB2312" w:cs="仿宋_GB2312"/>
          <w:color w:val="000000"/>
          <w:sz w:val="28"/>
          <w:szCs w:val="28"/>
          <w:highlight w:val="yellow"/>
        </w:rPr>
      </w:pPr>
      <w:r>
        <w:rPr>
          <w:rFonts w:hint="eastAsia" w:ascii="仿宋_GB2312" w:hAnsi="仿宋_GB2312" w:eastAsia="仿宋_GB2312" w:cs="仿宋_GB2312"/>
          <w:color w:val="000000"/>
          <w:sz w:val="28"/>
          <w:szCs w:val="28"/>
          <w:highlight w:val="yellow"/>
        </w:rPr>
        <w:t>乙方开户银行名称、地址和账号为：</w:t>
      </w:r>
    </w:p>
    <w:p w14:paraId="5D94B156">
      <w:pPr>
        <w:pStyle w:val="60"/>
        <w:tabs>
          <w:tab w:val="left" w:pos="567"/>
          <w:tab w:val="left" w:pos="3969"/>
          <w:tab w:val="left" w:pos="4111"/>
          <w:tab w:val="left" w:pos="4253"/>
          <w:tab w:val="left" w:pos="4536"/>
        </w:tabs>
        <w:spacing w:line="360" w:lineRule="auto"/>
        <w:ind w:firstLine="560" w:firstLineChars="200"/>
        <w:contextualSpacing/>
        <w:rPr>
          <w:rFonts w:hint="eastAsia" w:ascii="仿宋_GB2312" w:hAnsi="仿宋_GB2312" w:eastAsia="仿宋_GB2312" w:cs="仿宋_GB2312"/>
          <w:color w:val="000000"/>
          <w:sz w:val="28"/>
          <w:szCs w:val="28"/>
          <w:highlight w:val="yellow"/>
        </w:rPr>
      </w:pPr>
      <w:r>
        <w:rPr>
          <w:rFonts w:hint="eastAsia" w:ascii="仿宋_GB2312" w:hAnsi="仿宋_GB2312" w:eastAsia="仿宋_GB2312" w:cs="仿宋_GB2312"/>
          <w:color w:val="000000"/>
          <w:sz w:val="28"/>
          <w:szCs w:val="28"/>
          <w:highlight w:val="yellow"/>
        </w:rPr>
        <w:t>账户名称：</w:t>
      </w:r>
    </w:p>
    <w:p w14:paraId="7E061085">
      <w:pPr>
        <w:pStyle w:val="60"/>
        <w:tabs>
          <w:tab w:val="left" w:pos="567"/>
          <w:tab w:val="left" w:pos="3969"/>
          <w:tab w:val="left" w:pos="4111"/>
          <w:tab w:val="left" w:pos="4253"/>
          <w:tab w:val="left" w:pos="4536"/>
        </w:tabs>
        <w:spacing w:line="360" w:lineRule="auto"/>
        <w:ind w:firstLine="560" w:firstLineChars="200"/>
        <w:contextualSpacing/>
        <w:rPr>
          <w:rFonts w:hint="eastAsia" w:ascii="仿宋_GB2312" w:hAnsi="仿宋_GB2312" w:eastAsia="仿宋_GB2312" w:cs="仿宋_GB2312"/>
          <w:color w:val="000000"/>
          <w:sz w:val="28"/>
          <w:szCs w:val="28"/>
          <w:highlight w:val="yellow"/>
        </w:rPr>
      </w:pPr>
      <w:r>
        <w:rPr>
          <w:rFonts w:hint="eastAsia" w:ascii="仿宋_GB2312" w:hAnsi="仿宋_GB2312" w:eastAsia="仿宋_GB2312" w:cs="仿宋_GB2312"/>
          <w:color w:val="000000"/>
          <w:sz w:val="28"/>
          <w:szCs w:val="28"/>
          <w:highlight w:val="yellow"/>
        </w:rPr>
        <w:t>开户银行：</w:t>
      </w:r>
    </w:p>
    <w:p w14:paraId="4C2C17A1">
      <w:pPr>
        <w:pStyle w:val="60"/>
        <w:tabs>
          <w:tab w:val="left" w:pos="567"/>
          <w:tab w:val="left" w:pos="3969"/>
          <w:tab w:val="left" w:pos="4111"/>
          <w:tab w:val="left" w:pos="4253"/>
          <w:tab w:val="left" w:pos="4536"/>
        </w:tabs>
        <w:spacing w:line="360" w:lineRule="auto"/>
        <w:ind w:firstLine="560" w:firstLineChars="200"/>
        <w:contextualSpacing/>
        <w:rPr>
          <w:rFonts w:hint="eastAsia" w:ascii="仿宋_GB2312" w:hAnsi="仿宋_GB2312" w:eastAsia="仿宋_GB2312" w:cs="仿宋_GB2312"/>
          <w:b/>
          <w:sz w:val="28"/>
          <w:szCs w:val="28"/>
          <w:highlight w:val="yellow"/>
        </w:rPr>
      </w:pPr>
      <w:r>
        <w:rPr>
          <w:rFonts w:hint="eastAsia" w:ascii="仿宋_GB2312" w:hAnsi="仿宋_GB2312" w:eastAsia="仿宋_GB2312" w:cs="仿宋_GB2312"/>
          <w:color w:val="000000"/>
          <w:sz w:val="28"/>
          <w:szCs w:val="28"/>
          <w:highlight w:val="yellow"/>
        </w:rPr>
        <w:t>账号：</w:t>
      </w:r>
    </w:p>
    <w:p w14:paraId="08C5F119">
      <w:pPr>
        <w:pStyle w:val="60"/>
        <w:numPr>
          <w:ilvl w:val="0"/>
          <w:numId w:val="1"/>
        </w:numPr>
        <w:tabs>
          <w:tab w:val="left" w:pos="567"/>
          <w:tab w:val="left" w:pos="3969"/>
          <w:tab w:val="left" w:pos="4111"/>
          <w:tab w:val="left" w:pos="4253"/>
          <w:tab w:val="left" w:pos="4536"/>
        </w:tabs>
        <w:spacing w:line="360" w:lineRule="auto"/>
        <w:contextualSpacing/>
        <w:jc w:val="center"/>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服务事项</w:t>
      </w:r>
    </w:p>
    <w:p w14:paraId="144153A8">
      <w:pPr>
        <w:pStyle w:val="63"/>
        <w:numPr>
          <w:ilvl w:val="0"/>
          <w:numId w:val="2"/>
        </w:numPr>
        <w:snapToGrid/>
        <w:ind w:left="0" w:leftChars="0" w:firstLine="420" w:firstLineChars="0"/>
        <w:contextualSpacing/>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服务概况</w:t>
      </w:r>
    </w:p>
    <w:p w14:paraId="4DD63A18">
      <w:pPr>
        <w:pStyle w:val="58"/>
        <w:numPr>
          <w:ilvl w:val="0"/>
          <w:numId w:val="3"/>
        </w:numPr>
        <w:spacing w:after="0" w:line="360" w:lineRule="auto"/>
        <w:ind w:left="0" w:leftChars="0" w:firstLine="400" w:firstLineChars="0"/>
        <w:contextualSpacing/>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项目名称：</w:t>
      </w:r>
      <w:r>
        <w:rPr>
          <w:rFonts w:hint="eastAsia" w:ascii="仿宋_GB2312" w:hAnsi="仿宋_GB2312" w:eastAsia="仿宋_GB2312" w:cs="仿宋_GB2312"/>
          <w:sz w:val="28"/>
          <w:szCs w:val="28"/>
          <w:highlight w:val="none"/>
          <w:lang w:eastAsia="zh-CN"/>
        </w:rPr>
        <w:t>广报阡陌间2026年至2028年消防系统维护保养服务</w:t>
      </w:r>
      <w:r>
        <w:rPr>
          <w:rFonts w:hint="eastAsia" w:ascii="仿宋_GB2312" w:hAnsi="仿宋_GB2312" w:eastAsia="仿宋_GB2312" w:cs="仿宋_GB2312"/>
          <w:sz w:val="28"/>
          <w:szCs w:val="28"/>
          <w:highlight w:val="none"/>
        </w:rPr>
        <w:t>。</w:t>
      </w:r>
    </w:p>
    <w:p w14:paraId="5731EE55">
      <w:pPr>
        <w:pStyle w:val="58"/>
        <w:numPr>
          <w:ilvl w:val="0"/>
          <w:numId w:val="3"/>
        </w:numPr>
        <w:spacing w:after="0" w:line="360" w:lineRule="auto"/>
        <w:ind w:left="0" w:leftChars="0" w:firstLine="400" w:firstLineChars="0"/>
        <w:contextualSpacing/>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本项目维保费用已包含人工费、零星材料费、保养费、</w:t>
      </w:r>
      <w:r>
        <w:rPr>
          <w:rFonts w:hint="eastAsia" w:ascii="仿宋_GB2312" w:hAnsi="仿宋_GB2312" w:eastAsia="仿宋_GB2312" w:cs="仿宋_GB2312"/>
          <w:color w:val="000000"/>
          <w:sz w:val="28"/>
          <w:szCs w:val="28"/>
          <w:highlight w:val="none"/>
          <w:lang w:val="en-US" w:eastAsia="zh-CN"/>
        </w:rPr>
        <w:t>保险费、</w:t>
      </w:r>
      <w:r>
        <w:rPr>
          <w:rFonts w:hint="eastAsia" w:ascii="仿宋_GB2312" w:hAnsi="仿宋_GB2312" w:eastAsia="仿宋_GB2312" w:cs="仿宋_GB2312"/>
          <w:color w:val="000000"/>
          <w:sz w:val="28"/>
          <w:szCs w:val="28"/>
          <w:highlight w:val="none"/>
        </w:rPr>
        <w:t>措施项目费各项应有费用。</w:t>
      </w:r>
    </w:p>
    <w:p w14:paraId="34C4E11D">
      <w:pPr>
        <w:pStyle w:val="58"/>
        <w:numPr>
          <w:ilvl w:val="0"/>
          <w:numId w:val="3"/>
        </w:numPr>
        <w:spacing w:after="0" w:line="360" w:lineRule="auto"/>
        <w:ind w:left="0" w:leftChars="0" w:firstLine="400" w:firstLineChars="0"/>
        <w:contextualSpacing/>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除甲方有明确规定外，乙方不得以任何方式转包或分包本项目。</w:t>
      </w:r>
    </w:p>
    <w:p w14:paraId="562D4887">
      <w:pPr>
        <w:pStyle w:val="58"/>
        <w:widowControl w:val="0"/>
        <w:numPr>
          <w:ilvl w:val="0"/>
          <w:numId w:val="2"/>
        </w:numPr>
        <w:spacing w:after="0" w:line="360" w:lineRule="auto"/>
        <w:ind w:left="0" w:leftChars="0" w:firstLine="420" w:firstLineChars="0"/>
        <w:contextualSpacing/>
        <w:jc w:val="both"/>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服务内容</w:t>
      </w:r>
    </w:p>
    <w:p w14:paraId="2FA30FDB">
      <w:pPr>
        <w:pStyle w:val="58"/>
        <w:numPr>
          <w:ilvl w:val="0"/>
          <w:numId w:val="4"/>
        </w:numPr>
        <w:spacing w:after="0" w:line="360" w:lineRule="auto"/>
        <w:ind w:left="0" w:leftChars="0" w:firstLine="400" w:firstLineChars="0"/>
        <w:contextualSpacing/>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 xml:space="preserve">按国家相关规范及行业标准，制定巡检计划，至少每月1次（每次维护保养的时间间隔不得超过三十日）对园区消防系统设备及设施进行全面检查，重点检查设备及设施外观完整性、运行状态、参数是否正常，线路连接是否牢固，有无老化、破损、泄漏等情况，及时发现并记录隐患，主要内容包括: </w:t>
      </w:r>
    </w:p>
    <w:p w14:paraId="6C8B183A">
      <w:pPr>
        <w:pStyle w:val="58"/>
        <w:spacing w:after="0" w:line="360" w:lineRule="auto"/>
        <w:ind w:firstLine="280" w:firstLineChars="100"/>
        <w:contextualSpacing/>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1）按照消防规范要求，定期对消防设备设施进行功能检测和试验，包括但不限于：报警控制器联动试验、消防水泵联动启停试验、自动喷水灭火系统末端试水试验、消火栓出水压力测试、防排烟风机联动启停试验、应急照明切换试验、防火门启闭试验、广播功能试验、电梯迫降试验、消防切非联动试验、五方通话功能试验等，确保各系统联动功能正常。</w:t>
      </w:r>
    </w:p>
    <w:p w14:paraId="0AB9F60B">
      <w:pPr>
        <w:pStyle w:val="58"/>
        <w:spacing w:after="0" w:line="360" w:lineRule="auto"/>
        <w:ind w:firstLine="280" w:firstLineChars="100"/>
        <w:contextualSpacing/>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2）对消防设备及设施进行清洁、润滑、紧固、调整等保养工作，更换老化、损坏的零部件（小额零部件费用可包含在维保费用内，大额零部件需单独报价并经甲方审批后更换）；定期对消防水池、消防水箱进行清理，确保水质符合要求；对消防设备设施的标识标牌进行检查和维护，确保清晰完整。</w:t>
      </w:r>
    </w:p>
    <w:p w14:paraId="531DE6DD">
      <w:pPr>
        <w:pStyle w:val="58"/>
        <w:spacing w:after="0" w:line="360" w:lineRule="auto"/>
        <w:ind w:firstLine="280" w:firstLineChars="100"/>
        <w:contextualSpacing/>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3）每次巡检、维修、检测后，需填写详细的记录表格，包括消防设备及设施状态、发现问题、处理措施及结果等；每月向甲方提交月度维保报告和月度维保计划，每年提交年度维保总结报告及完整的检测报告，配合甲方完成消防年检、专项检查等工作，提供所需的维保资料。</w:t>
      </w:r>
    </w:p>
    <w:p w14:paraId="2903CBAC">
      <w:pPr>
        <w:pStyle w:val="58"/>
        <w:spacing w:after="0" w:line="360" w:lineRule="auto"/>
        <w:ind w:firstLine="280" w:firstLineChars="100"/>
        <w:contextualSpacing/>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4）火灾自动报警系统主要维护保养内容:报警主机、烟感探测器、温感探测器及各类探测器、所有的报警控制信号线路、声光报警装置、直流电源、消防联运柜、联动模块、事故广播，消防广播分配盘、功率放大器、扬声器、消防电话主机。</w:t>
      </w:r>
    </w:p>
    <w:p w14:paraId="461A92F3">
      <w:pPr>
        <w:pStyle w:val="58"/>
        <w:spacing w:after="0" w:line="360" w:lineRule="auto"/>
        <w:ind w:firstLine="280" w:firstLineChars="100"/>
        <w:contextualSpacing/>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5）消火栓灭火系统主要维护保养内容:消火栓箱、试验栓、消火栓水泵及水泵接合器、消火栓水池及系统所有管道、所有动力、控制信号管线、报警按钮及报警警铃、消火栓系统控制阀门、卷盘、水带、枪头等。</w:t>
      </w:r>
    </w:p>
    <w:p w14:paraId="653FE108">
      <w:pPr>
        <w:pStyle w:val="58"/>
        <w:spacing w:after="0" w:line="360" w:lineRule="auto"/>
        <w:ind w:firstLine="280" w:firstLineChars="100"/>
        <w:contextualSpacing/>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（6）自动喷淋灭火系统主要维护保养内容:湿式报警阀、喷淋头、水力警铃、压力开关、信号闸阀、 水流指示器、喷淋水泵和接合器、喷淋系统压力检测、喷淋系统排水试验装置、所有喷淋水池及管网及管道阀门、冲洗管道、末端试水装置、自动排气装置、水泵控制线路检测、水流指示器、信号阀线路检测。</w:t>
      </w:r>
    </w:p>
    <w:p w14:paraId="1EEBCAED">
      <w:pPr>
        <w:pStyle w:val="58"/>
        <w:spacing w:after="0" w:line="360" w:lineRule="auto"/>
        <w:ind w:firstLine="280" w:firstLineChars="100"/>
        <w:contextualSpacing/>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（7）防火门监控系统主要维护保养内容:防火门外观、防火门电动闭门器、轴承及门锁、防火门联动控制、报警控制器、报警控制线路、防火门控制模块。</w:t>
      </w:r>
    </w:p>
    <w:p w14:paraId="0781B2E8">
      <w:pPr>
        <w:pStyle w:val="58"/>
        <w:spacing w:after="0" w:line="360" w:lineRule="auto"/>
        <w:ind w:firstLine="280" w:firstLineChars="100"/>
        <w:contextualSpacing/>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（8）防排烟系统主要维护保养内容:风机控制柜、排烟风机、正压送风机、电源控制及线路、送排风。</w:t>
      </w:r>
    </w:p>
    <w:p w14:paraId="7E9DCD58">
      <w:pPr>
        <w:pStyle w:val="58"/>
        <w:spacing w:after="0" w:line="360" w:lineRule="auto"/>
        <w:ind w:firstLine="280" w:firstLineChars="100"/>
        <w:contextualSpacing/>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（9）应急照明灯主要维护保养内容:灯具外观检查、备用电池自动切换功能、备用电池充、放电测试功能、灯具发光片及灯泡的检查、应急电源、电路的检查维修。</w:t>
      </w:r>
    </w:p>
    <w:p w14:paraId="7CF9FF23">
      <w:pPr>
        <w:pStyle w:val="58"/>
        <w:spacing w:after="0" w:line="360" w:lineRule="auto"/>
        <w:ind w:firstLine="280" w:firstLineChars="100"/>
        <w:contextualSpacing/>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10）气体自动灭火系统主要维护保养内容:气体自动灭火控制主机检测、烟感探测器检测、温感探测器检测、可燃气体探测器检测、紧急启动报警按钮检测、声光报警器，警铃，电磁阀检测、放气，泄气，压力开关检测、启动按钮，储液瓶组检测、放气输送管道检测。</w:t>
      </w:r>
    </w:p>
    <w:p w14:paraId="455F0689">
      <w:pPr>
        <w:pStyle w:val="58"/>
        <w:spacing w:after="0" w:line="360" w:lineRule="auto"/>
        <w:ind w:firstLine="280" w:firstLineChars="100"/>
        <w:contextualSpacing/>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11）灭火器及防毒烟面具器材主要维护保养内容:灭火器箱外观检查、防毒烟面具外观检查、防毒烟面具在有效期内检查、灭火器压力值检查、灭火器压力值检查、灭火器外观及有效期内检查、灭火器箱贴封条及填写检查记录卡签名。</w:t>
      </w:r>
    </w:p>
    <w:p w14:paraId="48EF01C6">
      <w:pPr>
        <w:pStyle w:val="58"/>
        <w:spacing w:after="0" w:line="360" w:lineRule="auto"/>
        <w:ind w:firstLine="280" w:firstLineChars="100"/>
        <w:contextualSpacing/>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12）在合同规定的保养期限内，若维修过程中需更换配件，且单个配件单价不超过人民币100元（含100元），则由乙方承担相关费用，该费用已包含在本合同约定的保养费内，甲方无需额外支付。若单个配件单价超过人民币100元，则由甲方负责采购，或由乙方提供报价，经甲方审核批准后进行采购，乙方保证所报价格不会超出市场平均价格，并将遵循附件一《零配件报价表》上所列的维保单位报价（含税）执行，无论配件是由甲方采购还是乙方负责采购，乙方都将免费提供安装服务（含设备微改装/改造），甲方无需为此支付额外费用。</w:t>
      </w:r>
    </w:p>
    <w:p w14:paraId="2294722B">
      <w:pPr>
        <w:pStyle w:val="58"/>
        <w:numPr>
          <w:ilvl w:val="0"/>
          <w:numId w:val="4"/>
        </w:numPr>
        <w:spacing w:after="0" w:line="360" w:lineRule="auto"/>
        <w:ind w:left="0" w:leftChars="0" w:firstLine="400" w:firstLineChars="0"/>
        <w:contextualSpacing/>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甲方若有重大活动、员工消防培训、消防演练等情况乙方需到场配合。</w:t>
      </w:r>
    </w:p>
    <w:p w14:paraId="1EE259FA">
      <w:pPr>
        <w:pStyle w:val="58"/>
        <w:numPr>
          <w:ilvl w:val="0"/>
          <w:numId w:val="4"/>
        </w:numPr>
        <w:spacing w:after="0" w:line="360" w:lineRule="auto"/>
        <w:ind w:left="0" w:leftChars="0" w:firstLine="400" w:firstLineChars="0"/>
        <w:contextualSpacing/>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甲方若需消防报建、报验，乙方需无偿配合甲方，提供必要的技术支持及业务咨询。</w:t>
      </w:r>
    </w:p>
    <w:p w14:paraId="61916D97">
      <w:pPr>
        <w:pStyle w:val="58"/>
        <w:widowControl w:val="0"/>
        <w:numPr>
          <w:ilvl w:val="0"/>
          <w:numId w:val="2"/>
        </w:numPr>
        <w:spacing w:after="0" w:line="360" w:lineRule="auto"/>
        <w:ind w:left="0" w:leftChars="0" w:firstLine="420" w:firstLineChars="0"/>
        <w:contextualSpacing/>
        <w:jc w:val="both"/>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服务标准与服务质量</w:t>
      </w:r>
    </w:p>
    <w:p w14:paraId="70B1C712">
      <w:pPr>
        <w:pStyle w:val="58"/>
        <w:numPr>
          <w:ilvl w:val="0"/>
          <w:numId w:val="5"/>
        </w:numPr>
        <w:spacing w:after="0" w:line="360" w:lineRule="auto"/>
        <w:ind w:left="0" w:leftChars="0" w:firstLine="400" w:firstLineChars="0"/>
        <w:contextualSpacing/>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维护保养工作需严格遵守《中华人民共和国消防法》《建筑消防设施检测技术规程》（GA503-2004）《消防设施通用规范》（GB55036-2022）《建筑设计防火规范》（GB50016-2014，2018年版）等国家及地方相关法律法规、规范标准，确保维护保养后的消防设备设施符合消防验收及使用要求。</w:t>
      </w:r>
    </w:p>
    <w:p w14:paraId="63886A80">
      <w:pPr>
        <w:pStyle w:val="58"/>
        <w:numPr>
          <w:ilvl w:val="0"/>
          <w:numId w:val="5"/>
        </w:numPr>
        <w:spacing w:after="0" w:line="360" w:lineRule="auto"/>
        <w:ind w:left="0" w:leftChars="0" w:firstLine="400" w:firstLineChars="0"/>
        <w:contextualSpacing/>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项目负责人需具备丰富的项目管理经验，能够及时协调解决维保过程中的各类问题，维护保养人员需熟悉本项目消防设备设施的型号、规格及运行原理，提供稳定、专业的维保服务。</w:t>
      </w:r>
    </w:p>
    <w:p w14:paraId="4341A56C">
      <w:pPr>
        <w:pStyle w:val="58"/>
        <w:numPr>
          <w:ilvl w:val="0"/>
          <w:numId w:val="5"/>
        </w:numPr>
        <w:spacing w:after="0" w:line="360" w:lineRule="auto"/>
        <w:ind w:left="0" w:leftChars="0" w:firstLine="400" w:firstLineChars="0"/>
        <w:contextualSpacing/>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维护保养过程中使用的零部件、材料需为合格产品，符合国家相关标准及设备原厂技术要求，严禁使用假冒伪劣、不合格产品，若因材料质量问题导致设备故障或安全事故，由乙方承担全部责任。</w:t>
      </w:r>
    </w:p>
    <w:p w14:paraId="020380F9">
      <w:pPr>
        <w:pStyle w:val="58"/>
        <w:numPr>
          <w:ilvl w:val="0"/>
          <w:numId w:val="5"/>
        </w:numPr>
        <w:spacing w:after="0" w:line="360" w:lineRule="auto"/>
        <w:ind w:left="0" w:leftChars="0" w:firstLine="400" w:firstLineChars="0"/>
        <w:contextualSpacing/>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需建立7*24小时应急响应机制，设立专用应急联系电话，确保甲方在发现消防设备故障或突发消防相关问题时，能够随时联系到维保人员，乙方接到消防设备及设施故障通知后，维保人员需在1小时内到达现场（紧急故障30分钟内到达），明确故障原因并实施维修，对于无法现场解决的故障，需出具详细的故障分析报告及解决方案，经甲方确认后组织维修，确保在规定时限内恢复设备正常功能；若自甲方发出通知起2小时内维保人员仍未到达现场处理，甲方有权自行处理，由此产生的费用由乙方承担。</w:t>
      </w:r>
    </w:p>
    <w:p w14:paraId="6DACE174">
      <w:pPr>
        <w:pStyle w:val="58"/>
        <w:numPr>
          <w:ilvl w:val="0"/>
          <w:numId w:val="5"/>
        </w:numPr>
        <w:spacing w:after="0" w:line="360" w:lineRule="auto"/>
        <w:ind w:left="0" w:leftChars="0" w:firstLine="400" w:firstLineChars="0"/>
        <w:contextualSpacing/>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乙方在实施消防系统维护保养过程中应注意甲方设备安全和乙方员工的人身安全，乙方承担其所属员工的人身安全责任，按照相关要求对乙方所属员工进行培训，要求乙方所属员工持证上岗。</w:t>
      </w:r>
    </w:p>
    <w:p w14:paraId="389E50E7">
      <w:pPr>
        <w:pStyle w:val="52"/>
        <w:numPr>
          <w:ilvl w:val="0"/>
          <w:numId w:val="2"/>
        </w:numPr>
        <w:spacing w:line="360" w:lineRule="auto"/>
        <w:ind w:left="0" w:leftChars="0" w:firstLine="420" w:firstLineChars="0"/>
        <w:contextualSpacing/>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甲方的权利和义务</w:t>
      </w:r>
    </w:p>
    <w:p w14:paraId="0B0879E6">
      <w:pPr>
        <w:pStyle w:val="52"/>
        <w:numPr>
          <w:ilvl w:val="0"/>
          <w:numId w:val="6"/>
        </w:numPr>
        <w:spacing w:line="360" w:lineRule="auto"/>
        <w:ind w:left="0" w:leftChars="0" w:firstLine="400" w:firstLineChars="0"/>
        <w:contextualSpacing/>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甲方</w:t>
      </w:r>
      <w:r>
        <w:rPr>
          <w:rFonts w:hint="eastAsia" w:ascii="仿宋_GB2312" w:hAnsi="仿宋_GB2312" w:eastAsia="仿宋_GB2312" w:cs="仿宋_GB2312"/>
          <w:color w:val="000000"/>
          <w:sz w:val="28"/>
          <w:szCs w:val="28"/>
          <w:highlight w:val="none"/>
          <w:lang w:val="en-US" w:eastAsia="zh-CN"/>
        </w:rPr>
        <w:t>有权</w:t>
      </w:r>
      <w:r>
        <w:rPr>
          <w:rFonts w:hint="eastAsia" w:ascii="仿宋_GB2312" w:hAnsi="仿宋_GB2312" w:eastAsia="仿宋_GB2312" w:cs="仿宋_GB2312"/>
          <w:color w:val="000000"/>
          <w:sz w:val="28"/>
          <w:szCs w:val="28"/>
          <w:highlight w:val="none"/>
        </w:rPr>
        <w:t>对乙方的工作实行监督检查，监督检查方式包括但不限于现场巡查、查阅记录、抽查设备运行状态、要求乙方演示系统功能等，乙方应予以配合，不得拒绝、阻挠；甲方发现乙方工作不符合合同约定的，有权当场提出整改意见，乙方应即时记录并按要求整改。</w:t>
      </w:r>
    </w:p>
    <w:p w14:paraId="4D786A38">
      <w:pPr>
        <w:pStyle w:val="52"/>
        <w:numPr>
          <w:ilvl w:val="0"/>
          <w:numId w:val="6"/>
        </w:numPr>
        <w:spacing w:line="360" w:lineRule="auto"/>
        <w:ind w:left="0" w:leftChars="0" w:firstLine="400" w:firstLineChars="0"/>
        <w:contextualSpacing/>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甲方必须对乙方的服务提供必要的便利和</w:t>
      </w:r>
      <w:r>
        <w:rPr>
          <w:rFonts w:hint="eastAsia" w:ascii="仿宋_GB2312" w:hAnsi="仿宋_GB2312" w:eastAsia="仿宋_GB2312" w:cs="仿宋_GB2312"/>
          <w:color w:val="000000"/>
          <w:sz w:val="28"/>
          <w:szCs w:val="28"/>
          <w:highlight w:val="none"/>
          <w:lang w:val="en-US" w:eastAsia="zh-CN"/>
        </w:rPr>
        <w:t>资料</w:t>
      </w:r>
      <w:r>
        <w:rPr>
          <w:rFonts w:hint="eastAsia" w:ascii="仿宋_GB2312" w:hAnsi="仿宋_GB2312" w:eastAsia="仿宋_GB2312" w:cs="仿宋_GB2312"/>
          <w:color w:val="000000"/>
          <w:sz w:val="28"/>
          <w:szCs w:val="28"/>
          <w:highlight w:val="none"/>
        </w:rPr>
        <w:t>(如消防设施的完整图纸、技术资料和运行记录</w:t>
      </w:r>
      <w:r>
        <w:rPr>
          <w:rFonts w:hint="eastAsia" w:ascii="仿宋_GB2312" w:hAnsi="仿宋_GB2312" w:eastAsia="仿宋_GB2312" w:cs="仿宋_GB2312"/>
          <w:color w:val="000000"/>
          <w:sz w:val="28"/>
          <w:szCs w:val="28"/>
          <w:highlight w:val="none"/>
          <w:lang w:val="en-US" w:eastAsia="zh-CN"/>
        </w:rPr>
        <w:t>等</w:t>
      </w:r>
      <w:r>
        <w:rPr>
          <w:rFonts w:hint="eastAsia" w:ascii="仿宋_GB2312" w:hAnsi="仿宋_GB2312" w:eastAsia="仿宋_GB2312" w:cs="仿宋_GB2312"/>
          <w:color w:val="000000"/>
          <w:sz w:val="28"/>
          <w:szCs w:val="28"/>
          <w:highlight w:val="none"/>
        </w:rPr>
        <w:t>)。</w:t>
      </w:r>
    </w:p>
    <w:p w14:paraId="3423D246">
      <w:pPr>
        <w:pStyle w:val="52"/>
        <w:numPr>
          <w:ilvl w:val="0"/>
          <w:numId w:val="6"/>
        </w:numPr>
        <w:spacing w:line="360" w:lineRule="auto"/>
        <w:ind w:left="0" w:leftChars="0" w:firstLine="400" w:firstLineChars="0"/>
        <w:contextualSpacing/>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保养过程中所需的水、电及必需的条件，甲方人员配合并免费提供。</w:t>
      </w:r>
    </w:p>
    <w:p w14:paraId="0DBA778B">
      <w:pPr>
        <w:pStyle w:val="52"/>
        <w:numPr>
          <w:ilvl w:val="0"/>
          <w:numId w:val="6"/>
        </w:numPr>
        <w:spacing w:line="360" w:lineRule="auto"/>
        <w:ind w:left="0" w:leftChars="0" w:firstLine="400" w:firstLineChars="0"/>
        <w:contextualSpacing/>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甲方在项目改(扩)建和设备维修过程中影响原有的</w:t>
      </w:r>
      <w:r>
        <w:rPr>
          <w:rFonts w:hint="eastAsia" w:ascii="仿宋_GB2312" w:hAnsi="仿宋_GB2312" w:eastAsia="仿宋_GB2312" w:cs="仿宋_GB2312"/>
          <w:color w:val="000000"/>
          <w:sz w:val="28"/>
          <w:szCs w:val="28"/>
          <w:highlight w:val="none"/>
          <w:lang w:val="en-US" w:eastAsia="zh-CN"/>
        </w:rPr>
        <w:t>消防系统</w:t>
      </w:r>
      <w:r>
        <w:rPr>
          <w:rFonts w:hint="eastAsia" w:ascii="仿宋_GB2312" w:hAnsi="仿宋_GB2312" w:eastAsia="仿宋_GB2312" w:cs="仿宋_GB2312"/>
          <w:color w:val="000000"/>
          <w:sz w:val="28"/>
          <w:szCs w:val="28"/>
          <w:highlight w:val="none"/>
        </w:rPr>
        <w:t>使用的，应通知乙方，双方根据实际情况做好</w:t>
      </w:r>
      <w:r>
        <w:rPr>
          <w:rFonts w:hint="eastAsia" w:ascii="仿宋_GB2312" w:hAnsi="仿宋_GB2312" w:eastAsia="仿宋_GB2312" w:cs="仿宋_GB2312"/>
          <w:color w:val="000000"/>
          <w:sz w:val="28"/>
          <w:szCs w:val="28"/>
          <w:highlight w:val="none"/>
          <w:lang w:eastAsia="zh-CN"/>
        </w:rPr>
        <w:t>消防系统</w:t>
      </w:r>
      <w:r>
        <w:rPr>
          <w:rFonts w:hint="eastAsia" w:ascii="仿宋_GB2312" w:hAnsi="仿宋_GB2312" w:eastAsia="仿宋_GB2312" w:cs="仿宋_GB2312"/>
          <w:color w:val="000000"/>
          <w:sz w:val="28"/>
          <w:szCs w:val="28"/>
          <w:highlight w:val="none"/>
        </w:rPr>
        <w:t>正常运行的措施。</w:t>
      </w:r>
    </w:p>
    <w:p w14:paraId="16F21D88">
      <w:pPr>
        <w:pStyle w:val="52"/>
        <w:numPr>
          <w:ilvl w:val="0"/>
          <w:numId w:val="6"/>
        </w:numPr>
        <w:spacing w:line="360" w:lineRule="auto"/>
        <w:ind w:left="0" w:leftChars="0" w:firstLine="400" w:firstLineChars="0"/>
        <w:contextualSpacing/>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甲方</w:t>
      </w:r>
      <w:r>
        <w:rPr>
          <w:rFonts w:hint="eastAsia" w:ascii="仿宋_GB2312" w:hAnsi="仿宋_GB2312" w:eastAsia="仿宋_GB2312" w:cs="仿宋_GB2312"/>
          <w:color w:val="000000"/>
          <w:sz w:val="28"/>
          <w:szCs w:val="28"/>
          <w:highlight w:val="none"/>
          <w:lang w:val="en-US" w:eastAsia="zh-CN"/>
        </w:rPr>
        <w:t>有权</w:t>
      </w:r>
      <w:r>
        <w:rPr>
          <w:rFonts w:hint="eastAsia" w:ascii="仿宋_GB2312" w:hAnsi="仿宋_GB2312" w:eastAsia="仿宋_GB2312" w:cs="仿宋_GB2312"/>
          <w:color w:val="000000"/>
          <w:sz w:val="28"/>
          <w:szCs w:val="28"/>
          <w:highlight w:val="none"/>
        </w:rPr>
        <w:t>对乙方的维修、保养时所更换的</w:t>
      </w:r>
      <w:r>
        <w:rPr>
          <w:rFonts w:hint="eastAsia" w:ascii="仿宋_GB2312" w:hAnsi="仿宋_GB2312" w:eastAsia="仿宋_GB2312" w:cs="仿宋_GB2312"/>
          <w:color w:val="000000"/>
          <w:sz w:val="28"/>
          <w:szCs w:val="28"/>
          <w:highlight w:val="none"/>
          <w:lang w:val="en-US" w:eastAsia="zh-CN"/>
        </w:rPr>
        <w:t>配件</w:t>
      </w:r>
      <w:r>
        <w:rPr>
          <w:rFonts w:hint="eastAsia" w:ascii="仿宋_GB2312" w:hAnsi="仿宋_GB2312" w:eastAsia="仿宋_GB2312" w:cs="仿宋_GB2312"/>
          <w:color w:val="000000"/>
          <w:sz w:val="28"/>
          <w:szCs w:val="28"/>
          <w:highlight w:val="none"/>
        </w:rPr>
        <w:t>是否是合格的产品进行监督。</w:t>
      </w:r>
    </w:p>
    <w:p w14:paraId="0B755F65">
      <w:pPr>
        <w:pStyle w:val="52"/>
        <w:numPr>
          <w:ilvl w:val="0"/>
          <w:numId w:val="2"/>
        </w:numPr>
        <w:spacing w:line="360" w:lineRule="auto"/>
        <w:ind w:left="0" w:leftChars="0" w:firstLine="420" w:firstLineChars="0"/>
        <w:contextualSpacing/>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乙方的权利和义务</w:t>
      </w:r>
    </w:p>
    <w:p w14:paraId="42C07456">
      <w:pPr>
        <w:pStyle w:val="4"/>
        <w:numPr>
          <w:ilvl w:val="0"/>
          <w:numId w:val="7"/>
        </w:numPr>
        <w:spacing w:line="360" w:lineRule="auto"/>
        <w:ind w:left="0" w:leftChars="0" w:firstLine="400" w:firstLineChars="0"/>
        <w:jc w:val="left"/>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乙方指派</w:t>
      </w:r>
      <w:r>
        <w:rPr>
          <w:rFonts w:hint="eastAsia" w:ascii="仿宋_GB2312" w:hAnsi="仿宋_GB2312" w:eastAsia="仿宋_GB2312" w:cs="仿宋_GB2312"/>
          <w:bCs/>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bCs/>
          <w:color w:val="000000" w:themeColor="text1"/>
          <w:sz w:val="28"/>
          <w:szCs w:val="28"/>
          <w:highlight w:val="yellow"/>
          <w:u w:val="singl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28"/>
          <w:szCs w:val="28"/>
          <w:highlight w:val="yellow"/>
          <w:u w:val="single"/>
          <w14:textFill>
            <w14:solidFill>
              <w14:schemeClr w14:val="tx1"/>
            </w14:solidFill>
          </w14:textFill>
        </w:rPr>
        <w:t>(电话：</w:t>
      </w:r>
      <w:r>
        <w:rPr>
          <w:rFonts w:hint="eastAsia" w:ascii="仿宋_GB2312" w:hAnsi="仿宋_GB2312" w:eastAsia="仿宋_GB2312" w:cs="仿宋_GB2312"/>
          <w:bCs/>
          <w:color w:val="000000" w:themeColor="text1"/>
          <w:sz w:val="28"/>
          <w:szCs w:val="28"/>
          <w:highlight w:val="yellow"/>
          <w:u w:val="singl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28"/>
          <w:szCs w:val="28"/>
          <w:highlight w:val="yellow"/>
          <w:u w:val="single"/>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bCs/>
          <w:sz w:val="28"/>
          <w:szCs w:val="28"/>
          <w:highlight w:val="none"/>
        </w:rPr>
        <w:t>为项目负责人，负责对接管理</w:t>
      </w:r>
      <w:r>
        <w:rPr>
          <w:rFonts w:hint="eastAsia" w:ascii="仿宋_GB2312" w:hAnsi="仿宋_GB2312" w:eastAsia="仿宋_GB2312" w:cs="仿宋_GB2312"/>
          <w:bCs/>
          <w:sz w:val="28"/>
          <w:szCs w:val="28"/>
          <w:highlight w:val="none"/>
          <w:lang w:eastAsia="zh-CN"/>
        </w:rPr>
        <w:t>消防系统</w:t>
      </w:r>
      <w:r>
        <w:rPr>
          <w:rFonts w:hint="eastAsia" w:ascii="仿宋_GB2312" w:hAnsi="仿宋_GB2312" w:eastAsia="仿宋_GB2312" w:cs="仿宋_GB2312"/>
          <w:bCs/>
          <w:sz w:val="28"/>
          <w:szCs w:val="28"/>
          <w:highlight w:val="none"/>
        </w:rPr>
        <w:t>维护保养服务的实施，具体维护保养范围见本合同附件及招标文件</w:t>
      </w:r>
      <w:r>
        <w:rPr>
          <w:rFonts w:hint="eastAsia" w:ascii="仿宋_GB2312" w:hAnsi="仿宋_GB2312" w:eastAsia="仿宋_GB2312" w:cs="仿宋_GB2312"/>
          <w:sz w:val="28"/>
          <w:szCs w:val="28"/>
          <w:highlight w:val="none"/>
        </w:rPr>
        <w:t>所列的工作内容及方式进行维护保养。</w:t>
      </w:r>
    </w:p>
    <w:p w14:paraId="53CD372E">
      <w:pPr>
        <w:pStyle w:val="4"/>
        <w:numPr>
          <w:ilvl w:val="0"/>
          <w:numId w:val="7"/>
        </w:numPr>
        <w:spacing w:line="360" w:lineRule="auto"/>
        <w:ind w:left="0" w:leftChars="0" w:firstLine="400" w:firstLineChars="0"/>
        <w:jc w:val="left"/>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乙方有义务加强员工的职业道德教育和技能培训，遵守甲方相关规章制度。</w:t>
      </w:r>
    </w:p>
    <w:p w14:paraId="5655CA95">
      <w:pPr>
        <w:pStyle w:val="4"/>
        <w:numPr>
          <w:ilvl w:val="0"/>
          <w:numId w:val="7"/>
        </w:numPr>
        <w:spacing w:line="360" w:lineRule="auto"/>
        <w:ind w:left="0" w:leftChars="0" w:firstLine="400" w:firstLineChars="0"/>
        <w:jc w:val="left"/>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乙方派遣的技术人员必须是乙方公司内部员工，严禁将工作外包，并且必须持有合法有效的上岗资格证书</w:t>
      </w:r>
      <w:r>
        <w:rPr>
          <w:rFonts w:hint="eastAsia" w:ascii="仿宋_GB2312" w:hAnsi="仿宋_GB2312" w:eastAsia="仿宋_GB2312" w:cs="仿宋_GB2312"/>
          <w:bCs/>
          <w:sz w:val="28"/>
          <w:szCs w:val="28"/>
          <w:highlight w:val="none"/>
          <w:lang w:eastAsia="zh-CN"/>
        </w:rPr>
        <w:t>（</w:t>
      </w:r>
      <w:r>
        <w:rPr>
          <w:rFonts w:hint="eastAsia" w:ascii="仿宋_GB2312" w:hAnsi="仿宋_GB2312" w:eastAsia="仿宋_GB2312" w:cs="仿宋_GB2312"/>
          <w:bCs/>
          <w:sz w:val="28"/>
          <w:szCs w:val="28"/>
          <w:highlight w:val="none"/>
          <w:lang w:val="en-US" w:eastAsia="zh-CN"/>
        </w:rPr>
        <w:t>包括但不限于消防设施操作员证、特种作业操作证、消防安全员证书</w:t>
      </w:r>
      <w:bookmarkStart w:id="1" w:name="_GoBack"/>
      <w:bookmarkEnd w:id="1"/>
      <w:r>
        <w:rPr>
          <w:rFonts w:hint="eastAsia" w:ascii="仿宋_GB2312" w:hAnsi="仿宋_GB2312" w:eastAsia="仿宋_GB2312" w:cs="仿宋_GB2312"/>
          <w:bCs/>
          <w:sz w:val="28"/>
          <w:szCs w:val="28"/>
          <w:highlight w:val="none"/>
          <w:lang w:val="en-US" w:eastAsia="zh-CN"/>
        </w:rPr>
        <w:t>、</w:t>
      </w:r>
      <w:r>
        <w:rPr>
          <w:rFonts w:hint="eastAsia" w:ascii="仿宋_GB2312" w:hAnsi="仿宋_GB2312" w:eastAsia="仿宋_GB2312" w:cs="仿宋_GB2312"/>
          <w:bCs/>
          <w:color w:val="auto"/>
          <w:sz w:val="28"/>
          <w:szCs w:val="28"/>
          <w:highlight w:val="none"/>
          <w:lang w:val="en-US" w:eastAsia="zh-CN"/>
        </w:rPr>
        <w:t>系统主机调试编码工程师</w:t>
      </w:r>
      <w:r>
        <w:rPr>
          <w:rFonts w:hint="eastAsia" w:ascii="仿宋_GB2312" w:hAnsi="仿宋_GB2312" w:eastAsia="仿宋_GB2312" w:cs="仿宋_GB2312"/>
          <w:bCs/>
          <w:sz w:val="28"/>
          <w:szCs w:val="28"/>
          <w:highlight w:val="none"/>
          <w:lang w:eastAsia="zh-CN"/>
        </w:rPr>
        <w:t>），</w:t>
      </w:r>
      <w:r>
        <w:rPr>
          <w:rFonts w:hint="eastAsia" w:ascii="仿宋_GB2312" w:hAnsi="仿宋_GB2312" w:eastAsia="仿宋_GB2312" w:cs="仿宋_GB2312"/>
          <w:bCs/>
          <w:sz w:val="28"/>
          <w:szCs w:val="28"/>
          <w:highlight w:val="none"/>
          <w:lang w:val="en-US" w:eastAsia="zh-CN"/>
        </w:rPr>
        <w:t>且证件须在有效期内</w:t>
      </w:r>
      <w:r>
        <w:rPr>
          <w:rFonts w:hint="eastAsia" w:ascii="仿宋_GB2312" w:hAnsi="仿宋_GB2312" w:eastAsia="仿宋_GB2312" w:cs="仿宋_GB2312"/>
          <w:bCs/>
          <w:sz w:val="28"/>
          <w:szCs w:val="28"/>
          <w:highlight w:val="none"/>
        </w:rPr>
        <w:t>；甲方有权随时核查乙方技术人员的资质证书，发现不符合约定的，有权要求乙方在</w:t>
      </w:r>
      <w:r>
        <w:rPr>
          <w:rFonts w:hint="eastAsia" w:ascii="仿宋_GB2312" w:hAnsi="仿宋_GB2312" w:eastAsia="仿宋_GB2312" w:cs="仿宋_GB2312"/>
          <w:bCs/>
          <w:sz w:val="28"/>
          <w:szCs w:val="28"/>
          <w:highlight w:val="none"/>
          <w:lang w:val="en-US" w:eastAsia="zh-CN"/>
        </w:rPr>
        <w:t>1</w:t>
      </w:r>
      <w:r>
        <w:rPr>
          <w:rFonts w:hint="eastAsia" w:ascii="仿宋_GB2312" w:hAnsi="仿宋_GB2312" w:eastAsia="仿宋_GB2312" w:cs="仿宋_GB2312"/>
          <w:bCs/>
          <w:sz w:val="28"/>
          <w:szCs w:val="28"/>
          <w:highlight w:val="none"/>
        </w:rPr>
        <w:t>个工作日内更换合格人员；乙方未按时更换的，每次向甲方支付违约金500元，累计3次以上的，甲方有权扣减当季度服务费用的20%。在作业期间，技术人员应严格遵守园区的规章制度和劳动纪律，持证上岗，并加强安全防护措施；对于2米以上高度的爬梯作业，要求至少有两名技术人员共同作业，涉及高空作业时，作业人员必须持有高空作业证书，并且至少需要两名人员共同进行作业，同时必须规范使用安全绳索并正确佩戴安全帽，并服从甲方管理。</w:t>
      </w:r>
    </w:p>
    <w:p w14:paraId="311D270D">
      <w:pPr>
        <w:pStyle w:val="4"/>
        <w:numPr>
          <w:ilvl w:val="0"/>
          <w:numId w:val="7"/>
        </w:numPr>
        <w:spacing w:line="360" w:lineRule="auto"/>
        <w:ind w:left="0" w:leftChars="0" w:firstLine="400" w:firstLineChars="0"/>
        <w:jc w:val="left"/>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乙方每月安排1次专业技术人员按照维保内容对园区所有消防系统进行定期的检测和保养，每次不少于</w:t>
      </w:r>
      <w:r>
        <w:rPr>
          <w:rFonts w:hint="eastAsia" w:ascii="仿宋_GB2312" w:hAnsi="仿宋_GB2312" w:eastAsia="仿宋_GB2312" w:cs="仿宋_GB2312"/>
          <w:bCs/>
          <w:sz w:val="28"/>
          <w:szCs w:val="28"/>
          <w:highlight w:val="none"/>
          <w:lang w:val="en-US" w:eastAsia="zh-CN"/>
        </w:rPr>
        <w:t>2</w:t>
      </w:r>
      <w:r>
        <w:rPr>
          <w:rFonts w:hint="eastAsia" w:ascii="仿宋_GB2312" w:hAnsi="仿宋_GB2312" w:eastAsia="仿宋_GB2312" w:cs="仿宋_GB2312"/>
          <w:bCs/>
          <w:sz w:val="28"/>
          <w:szCs w:val="28"/>
          <w:highlight w:val="none"/>
        </w:rPr>
        <w:t>人，乙方应保证相关人员具备相关资质</w:t>
      </w:r>
      <w:r>
        <w:rPr>
          <w:rFonts w:hint="eastAsia" w:ascii="仿宋_GB2312" w:hAnsi="仿宋_GB2312" w:eastAsia="仿宋_GB2312" w:cs="仿宋_GB2312"/>
          <w:bCs/>
          <w:sz w:val="28"/>
          <w:szCs w:val="28"/>
          <w:highlight w:val="none"/>
          <w:lang w:eastAsia="zh-CN"/>
        </w:rPr>
        <w:t>。</w:t>
      </w:r>
    </w:p>
    <w:p w14:paraId="065FB91A">
      <w:pPr>
        <w:pStyle w:val="4"/>
        <w:numPr>
          <w:ilvl w:val="0"/>
          <w:numId w:val="7"/>
        </w:numPr>
        <w:spacing w:line="360" w:lineRule="auto"/>
        <w:ind w:left="0" w:leftChars="0" w:firstLine="400" w:firstLineChars="0"/>
        <w:jc w:val="left"/>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lang w:val="en-US" w:eastAsia="zh-CN"/>
        </w:rPr>
        <w:t>每年2月份需</w:t>
      </w:r>
      <w:r>
        <w:rPr>
          <w:rFonts w:hint="eastAsia" w:ascii="仿宋_GB2312" w:hAnsi="仿宋_GB2312" w:eastAsia="仿宋_GB2312" w:cs="仿宋_GB2312"/>
          <w:bCs/>
          <w:sz w:val="28"/>
          <w:szCs w:val="28"/>
          <w:highlight w:val="none"/>
        </w:rPr>
        <w:t>对消防系统进行一次全面的检查测试，并出具年度测试报告，向甲方提供服务</w:t>
      </w:r>
      <w:r>
        <w:rPr>
          <w:rFonts w:hint="eastAsia" w:ascii="仿宋_GB2312" w:hAnsi="仿宋_GB2312" w:eastAsia="仿宋_GB2312" w:cs="仿宋_GB2312"/>
          <w:bCs/>
          <w:sz w:val="28"/>
          <w:szCs w:val="28"/>
          <w:highlight w:val="none"/>
          <w:lang w:eastAsia="zh-CN"/>
        </w:rPr>
        <w:t>期内</w:t>
      </w:r>
      <w:r>
        <w:rPr>
          <w:rFonts w:hint="eastAsia" w:ascii="仿宋_GB2312" w:hAnsi="仿宋_GB2312" w:eastAsia="仿宋_GB2312" w:cs="仿宋_GB2312"/>
          <w:bCs/>
          <w:sz w:val="28"/>
          <w:szCs w:val="28"/>
          <w:highlight w:val="none"/>
        </w:rPr>
        <w:t xml:space="preserve">的所有检测、保养记录；乙方应向甲方及时、详尽地解释系统状态。 </w:t>
      </w:r>
    </w:p>
    <w:p w14:paraId="52CB78AB">
      <w:pPr>
        <w:pStyle w:val="4"/>
        <w:numPr>
          <w:ilvl w:val="0"/>
          <w:numId w:val="7"/>
        </w:numPr>
        <w:spacing w:line="360" w:lineRule="auto"/>
        <w:ind w:left="0" w:leftChars="0" w:firstLine="400" w:firstLineChars="0"/>
        <w:jc w:val="left"/>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合同期内，乙方应承担确保甲方</w:t>
      </w:r>
      <w:r>
        <w:rPr>
          <w:rFonts w:hint="eastAsia" w:ascii="仿宋_GB2312" w:hAnsi="仿宋_GB2312" w:eastAsia="仿宋_GB2312" w:cs="仿宋_GB2312"/>
          <w:bCs/>
          <w:sz w:val="28"/>
          <w:szCs w:val="28"/>
          <w:highlight w:val="none"/>
          <w:lang w:eastAsia="zh-CN"/>
        </w:rPr>
        <w:t>消防系统</w:t>
      </w:r>
      <w:r>
        <w:rPr>
          <w:rFonts w:hint="eastAsia" w:ascii="仿宋_GB2312" w:hAnsi="仿宋_GB2312" w:eastAsia="仿宋_GB2312" w:cs="仿宋_GB2312"/>
          <w:bCs/>
          <w:sz w:val="28"/>
          <w:szCs w:val="28"/>
          <w:highlight w:val="none"/>
        </w:rPr>
        <w:t>正常运行的责任，不得以任何理由延误处理设备故障。</w:t>
      </w:r>
    </w:p>
    <w:p w14:paraId="127F0C89">
      <w:pPr>
        <w:pStyle w:val="4"/>
        <w:numPr>
          <w:ilvl w:val="0"/>
          <w:numId w:val="7"/>
        </w:numPr>
        <w:spacing w:line="360" w:lineRule="auto"/>
        <w:ind w:left="0" w:leftChars="0" w:firstLine="400" w:firstLineChars="0"/>
        <w:jc w:val="left"/>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甲方提供给乙方的各种资料，乙方应妥善保管，未经甲方同意不得复印及转借及以任何形式对外披露，合同期满后完好交回，乙方必须在每次维修或保养后，由甲方做出书面签字确认。</w:t>
      </w:r>
    </w:p>
    <w:p w14:paraId="4D0B6F54">
      <w:pPr>
        <w:pStyle w:val="4"/>
        <w:numPr>
          <w:ilvl w:val="0"/>
          <w:numId w:val="7"/>
        </w:numPr>
        <w:spacing w:line="360" w:lineRule="auto"/>
        <w:ind w:left="0" w:leftChars="0" w:firstLine="400" w:firstLineChars="0"/>
        <w:jc w:val="left"/>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乙方应按照《中华人民共和国劳动法》、《中华人民共和国社会保险法》等相关法规执行公司人员劳动条件保护，投入本维保服务中的服务人员工资不得低于广州市企业职工最低工资标准（工资不含按国家规定乙方必须支付的社会保险及其他应付费用）。</w:t>
      </w:r>
    </w:p>
    <w:p w14:paraId="0ECB549E">
      <w:pPr>
        <w:pStyle w:val="4"/>
        <w:numPr>
          <w:ilvl w:val="0"/>
          <w:numId w:val="7"/>
        </w:numPr>
        <w:spacing w:line="360" w:lineRule="auto"/>
        <w:ind w:left="0" w:leftChars="0" w:firstLine="400" w:firstLineChars="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bCs/>
          <w:sz w:val="28"/>
          <w:szCs w:val="28"/>
          <w:highlight w:val="none"/>
        </w:rPr>
        <w:t>若</w:t>
      </w:r>
      <w:r>
        <w:rPr>
          <w:rFonts w:hint="eastAsia" w:ascii="仿宋_GB2312" w:hAnsi="仿宋_GB2312" w:eastAsia="仿宋_GB2312" w:cs="仿宋_GB2312"/>
          <w:bCs/>
          <w:sz w:val="28"/>
          <w:szCs w:val="28"/>
          <w:highlight w:val="none"/>
          <w:lang w:val="en-US" w:eastAsia="zh-CN"/>
        </w:rPr>
        <w:t>甲方报修，</w:t>
      </w:r>
      <w:r>
        <w:rPr>
          <w:rFonts w:hint="eastAsia" w:ascii="仿宋_GB2312" w:hAnsi="仿宋_GB2312" w:eastAsia="仿宋_GB2312" w:cs="仿宋_GB2312"/>
          <w:bCs/>
          <w:sz w:val="28"/>
          <w:szCs w:val="28"/>
          <w:highlight w:val="none"/>
        </w:rPr>
        <w:t>乙方未能</w:t>
      </w:r>
      <w:r>
        <w:rPr>
          <w:rFonts w:hint="eastAsia" w:ascii="仿宋_GB2312" w:hAnsi="仿宋_GB2312" w:eastAsia="仿宋_GB2312" w:cs="仿宋_GB2312"/>
          <w:bCs/>
          <w:sz w:val="28"/>
          <w:szCs w:val="28"/>
          <w:highlight w:val="none"/>
          <w:lang w:val="en-US" w:eastAsia="zh-CN"/>
        </w:rPr>
        <w:t>在合同规定的时间内</w:t>
      </w:r>
      <w:r>
        <w:rPr>
          <w:rFonts w:hint="eastAsia" w:ascii="仿宋_GB2312" w:hAnsi="仿宋_GB2312" w:eastAsia="仿宋_GB2312" w:cs="仿宋_GB2312"/>
          <w:bCs/>
          <w:sz w:val="28"/>
          <w:szCs w:val="28"/>
          <w:highlight w:val="none"/>
        </w:rPr>
        <w:t>到达</w:t>
      </w:r>
      <w:r>
        <w:rPr>
          <w:rFonts w:hint="eastAsia" w:ascii="仿宋_GB2312" w:hAnsi="仿宋_GB2312" w:eastAsia="仿宋_GB2312" w:cs="仿宋_GB2312"/>
          <w:bCs/>
          <w:sz w:val="28"/>
          <w:szCs w:val="28"/>
          <w:highlight w:val="none"/>
          <w:lang w:val="en-US" w:eastAsia="zh-CN"/>
        </w:rPr>
        <w:t>现场</w:t>
      </w:r>
      <w:r>
        <w:rPr>
          <w:rFonts w:hint="eastAsia" w:ascii="仿宋_GB2312" w:hAnsi="仿宋_GB2312" w:eastAsia="仿宋_GB2312" w:cs="仿宋_GB2312"/>
          <w:bCs/>
          <w:sz w:val="28"/>
          <w:szCs w:val="28"/>
          <w:highlight w:val="none"/>
        </w:rPr>
        <w:t>，甲方有权自行处理相关事宜，由此产生的费用应由乙方承担；同时，根据乙方未能及时维修所造成的后果严重程度，甲方有权向乙方征收500至3000元的违约金。</w:t>
      </w:r>
    </w:p>
    <w:p w14:paraId="0484DBD1">
      <w:pPr>
        <w:pStyle w:val="60"/>
        <w:numPr>
          <w:ilvl w:val="0"/>
          <w:numId w:val="1"/>
        </w:numPr>
        <w:tabs>
          <w:tab w:val="left" w:pos="567"/>
          <w:tab w:val="left" w:pos="3969"/>
          <w:tab w:val="left" w:pos="4111"/>
          <w:tab w:val="left" w:pos="4253"/>
          <w:tab w:val="left" w:pos="4536"/>
        </w:tabs>
        <w:spacing w:line="360" w:lineRule="auto"/>
        <w:contextualSpacing/>
        <w:jc w:val="center"/>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违约责任</w:t>
      </w:r>
    </w:p>
    <w:p w14:paraId="74326DE5">
      <w:pPr>
        <w:pStyle w:val="60"/>
        <w:numPr>
          <w:ilvl w:val="0"/>
          <w:numId w:val="8"/>
        </w:numPr>
        <w:tabs>
          <w:tab w:val="left" w:pos="840"/>
        </w:tabs>
        <w:spacing w:line="360" w:lineRule="auto"/>
        <w:ind w:left="0" w:leftChars="0" w:firstLine="420" w:firstLineChars="0"/>
        <w:contextualSpacing/>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若乙方未能遵守本合同之规定，且其提供的服务未满足合同所约定的标准，甲方有权提出整改要求，乙方应根据甲方的要求进行相应的整改工作，直至甲方确认服务达到合格标准；若乙方对甲方所提出的整改要求采取敷衍态度，</w:t>
      </w:r>
      <w:r>
        <w:rPr>
          <w:rFonts w:hint="eastAsia" w:ascii="仿宋_GB2312" w:hAnsi="仿宋_GB2312" w:eastAsia="仿宋_GB2312" w:cs="仿宋_GB2312"/>
          <w:sz w:val="28"/>
          <w:szCs w:val="28"/>
          <w:highlight w:val="none"/>
          <w:lang w:val="en-US" w:eastAsia="zh-CN"/>
        </w:rPr>
        <w:t>未在规定期间内完成整改，或无法通过整改进行弥补的，</w:t>
      </w:r>
      <w:r>
        <w:rPr>
          <w:rFonts w:hint="eastAsia" w:ascii="仿宋_GB2312" w:hAnsi="仿宋_GB2312" w:eastAsia="仿宋_GB2312" w:cs="仿宋_GB2312"/>
          <w:sz w:val="28"/>
          <w:szCs w:val="28"/>
          <w:highlight w:val="none"/>
        </w:rPr>
        <w:t>甲方则有权对乙方征收500至3000元的违约金。</w:t>
      </w:r>
    </w:p>
    <w:p w14:paraId="152EACFA">
      <w:pPr>
        <w:pStyle w:val="60"/>
        <w:numPr>
          <w:ilvl w:val="0"/>
          <w:numId w:val="8"/>
        </w:numPr>
        <w:tabs>
          <w:tab w:val="left" w:pos="840"/>
        </w:tabs>
        <w:spacing w:line="360" w:lineRule="auto"/>
        <w:ind w:left="0" w:leftChars="0" w:firstLine="420" w:firstLineChars="0"/>
        <w:contextualSpacing/>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若一方发生违约行为，守约方可自行决定终止本协议，并有权追究违约方的法律责任和实际损失（包括但不限于</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直接损失、</w:t>
      </w:r>
      <w:r>
        <w:rPr>
          <w:rFonts w:hint="eastAsia" w:ascii="仿宋_GB2312" w:hAnsi="仿宋_GB2312" w:eastAsia="仿宋_GB2312" w:cs="仿宋_GB2312"/>
          <w:sz w:val="28"/>
          <w:szCs w:val="28"/>
          <w:highlight w:val="none"/>
          <w:lang w:val="en-US" w:eastAsia="zh-CN"/>
        </w:rPr>
        <w:t>间接损失，</w:t>
      </w:r>
      <w:r>
        <w:rPr>
          <w:rFonts w:hint="eastAsia" w:ascii="仿宋_GB2312" w:hAnsi="仿宋_GB2312" w:eastAsia="仿宋_GB2312" w:cs="仿宋_GB2312"/>
          <w:sz w:val="28"/>
          <w:szCs w:val="28"/>
          <w:highlight w:val="none"/>
        </w:rPr>
        <w:t>维权费用</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如：</w:t>
      </w:r>
      <w:r>
        <w:rPr>
          <w:rFonts w:hint="eastAsia" w:ascii="仿宋_GB2312" w:hAnsi="仿宋_GB2312" w:eastAsia="仿宋_GB2312" w:cs="仿宋_GB2312"/>
          <w:sz w:val="28"/>
          <w:szCs w:val="28"/>
          <w:highlight w:val="none"/>
          <w:lang w:eastAsia="zh-CN"/>
        </w:rPr>
        <w:t>财产保全担保费、评估费、公证费、律师费</w:t>
      </w:r>
      <w:r>
        <w:rPr>
          <w:rFonts w:hint="eastAsia" w:ascii="仿宋_GB2312" w:hAnsi="仿宋_GB2312" w:eastAsia="仿宋_GB2312" w:cs="仿宋_GB2312"/>
          <w:sz w:val="28"/>
          <w:szCs w:val="28"/>
          <w:highlight w:val="none"/>
        </w:rPr>
        <w:t>） 等经济赔偿等。</w:t>
      </w:r>
    </w:p>
    <w:p w14:paraId="507A7EB9">
      <w:pPr>
        <w:pStyle w:val="60"/>
        <w:numPr>
          <w:ilvl w:val="0"/>
          <w:numId w:val="8"/>
        </w:numPr>
        <w:tabs>
          <w:tab w:val="left" w:pos="840"/>
        </w:tabs>
        <w:spacing w:line="360" w:lineRule="auto"/>
        <w:ind w:left="0" w:leftChars="0" w:firstLine="420" w:firstLineChars="0"/>
        <w:contextualSpacing/>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若</w:t>
      </w:r>
      <w:r>
        <w:rPr>
          <w:rFonts w:hint="eastAsia" w:ascii="仿宋_GB2312" w:hAnsi="仿宋_GB2312" w:eastAsia="仿宋_GB2312" w:cs="仿宋_GB2312"/>
          <w:sz w:val="28"/>
          <w:szCs w:val="28"/>
          <w:highlight w:val="none"/>
        </w:rPr>
        <w:t>乙方服务过程中，造成甲方</w:t>
      </w:r>
      <w:r>
        <w:rPr>
          <w:rFonts w:hint="eastAsia" w:ascii="仿宋_GB2312" w:hAnsi="仿宋_GB2312" w:eastAsia="仿宋_GB2312" w:cs="仿宋_GB2312"/>
          <w:sz w:val="28"/>
          <w:szCs w:val="28"/>
          <w:highlight w:val="none"/>
          <w:lang w:val="en-US" w:eastAsia="zh-CN"/>
        </w:rPr>
        <w:t>人员</w:t>
      </w:r>
      <w:r>
        <w:rPr>
          <w:rFonts w:hint="eastAsia" w:ascii="仿宋_GB2312" w:hAnsi="仿宋_GB2312" w:eastAsia="仿宋_GB2312" w:cs="仿宋_GB2312"/>
          <w:sz w:val="28"/>
          <w:szCs w:val="28"/>
          <w:highlight w:val="none"/>
        </w:rPr>
        <w:t>或第三方人身和财产损害，</w:t>
      </w:r>
      <w:r>
        <w:rPr>
          <w:rFonts w:hint="eastAsia" w:ascii="仿宋_GB2312" w:hAnsi="仿宋_GB2312" w:eastAsia="仿宋_GB2312" w:cs="仿宋_GB2312"/>
          <w:sz w:val="28"/>
          <w:szCs w:val="28"/>
          <w:highlight w:val="none"/>
          <w:lang w:val="en-US" w:eastAsia="zh-CN"/>
        </w:rPr>
        <w:t>乙方</w:t>
      </w:r>
      <w:r>
        <w:rPr>
          <w:rFonts w:hint="eastAsia" w:ascii="仿宋_GB2312" w:hAnsi="仿宋_GB2312" w:eastAsia="仿宋_GB2312" w:cs="仿宋_GB2312"/>
          <w:sz w:val="28"/>
          <w:szCs w:val="28"/>
          <w:highlight w:val="none"/>
        </w:rPr>
        <w:t>需承担全部赔偿责任（包括医疗费、误工费、财产损失费等）</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若甲方因此承担任何赔偿责任，有权向乙方追偿</w:t>
      </w:r>
      <w:r>
        <w:rPr>
          <w:rFonts w:hint="eastAsia" w:ascii="仿宋_GB2312" w:hAnsi="仿宋_GB2312" w:eastAsia="仿宋_GB2312" w:cs="仿宋_GB2312"/>
          <w:sz w:val="28"/>
          <w:szCs w:val="28"/>
          <w:highlight w:val="none"/>
        </w:rPr>
        <w:t>。</w:t>
      </w:r>
    </w:p>
    <w:p w14:paraId="009EDC30">
      <w:pPr>
        <w:pStyle w:val="60"/>
        <w:numPr>
          <w:ilvl w:val="0"/>
          <w:numId w:val="8"/>
        </w:numPr>
        <w:tabs>
          <w:tab w:val="left" w:pos="840"/>
        </w:tabs>
        <w:spacing w:line="360" w:lineRule="auto"/>
        <w:ind w:left="0" w:leftChars="0" w:firstLine="420" w:firstLineChars="0"/>
        <w:contextualSpacing/>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乙方须对其员工进行充分的安全防范教育，并采取必要的劳动保护措施，若因乙方或其员工的个人原因导致</w:t>
      </w:r>
      <w:r>
        <w:rPr>
          <w:rFonts w:hint="eastAsia" w:ascii="仿宋_GB2312" w:hAnsi="仿宋_GB2312" w:eastAsia="仿宋_GB2312" w:cs="仿宋_GB2312"/>
          <w:sz w:val="28"/>
          <w:szCs w:val="28"/>
          <w:highlight w:val="none"/>
          <w:lang w:val="en-US" w:eastAsia="zh-CN"/>
        </w:rPr>
        <w:t>甲方人员或第三方</w:t>
      </w:r>
      <w:r>
        <w:rPr>
          <w:rFonts w:hint="eastAsia" w:ascii="仿宋_GB2312" w:hAnsi="仿宋_GB2312" w:eastAsia="仿宋_GB2312" w:cs="仿宋_GB2312"/>
          <w:sz w:val="28"/>
          <w:szCs w:val="28"/>
          <w:highlight w:val="none"/>
        </w:rPr>
        <w:t>人身伤害或财产损失，乙方应承担全部赔偿责任，甲方不承担任何责任</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若甲方因此承担任何赔偿责任，有权向乙方追偿</w:t>
      </w:r>
      <w:r>
        <w:rPr>
          <w:rFonts w:hint="eastAsia" w:ascii="仿宋_GB2312" w:hAnsi="仿宋_GB2312" w:eastAsia="仿宋_GB2312" w:cs="仿宋_GB2312"/>
          <w:sz w:val="28"/>
          <w:szCs w:val="28"/>
          <w:highlight w:val="none"/>
        </w:rPr>
        <w:t>。</w:t>
      </w:r>
    </w:p>
    <w:p w14:paraId="45741EFC">
      <w:pPr>
        <w:pStyle w:val="60"/>
        <w:numPr>
          <w:ilvl w:val="0"/>
          <w:numId w:val="8"/>
        </w:numPr>
        <w:tabs>
          <w:tab w:val="left" w:pos="840"/>
        </w:tabs>
        <w:spacing w:line="360" w:lineRule="auto"/>
        <w:ind w:left="0" w:leftChars="0" w:firstLine="420" w:firstLineChars="0"/>
        <w:contextualSpacing/>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乙方因合作而知悉的甲方商业秘密，应进行保密，因乙方未经甲方批准向第三人泄密造成甲方损失的，由乙方承担全部赔偿责任。</w:t>
      </w:r>
    </w:p>
    <w:p w14:paraId="27D2B097">
      <w:pPr>
        <w:pStyle w:val="60"/>
        <w:numPr>
          <w:ilvl w:val="0"/>
          <w:numId w:val="8"/>
        </w:numPr>
        <w:tabs>
          <w:tab w:val="left" w:pos="840"/>
        </w:tabs>
        <w:spacing w:line="360" w:lineRule="auto"/>
        <w:ind w:left="0" w:leftChars="0" w:firstLine="420" w:firstLineChars="0"/>
        <w:contextualSpacing/>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在合同期内</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乙方连续两次维保不到位</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经</w:t>
      </w:r>
      <w:r>
        <w:rPr>
          <w:rFonts w:hint="eastAsia" w:ascii="仿宋_GB2312" w:hAnsi="仿宋_GB2312" w:eastAsia="仿宋_GB2312" w:cs="仿宋_GB2312"/>
          <w:sz w:val="28"/>
          <w:szCs w:val="28"/>
          <w:highlight w:val="none"/>
        </w:rPr>
        <w:t>甲方</w:t>
      </w:r>
      <w:r>
        <w:rPr>
          <w:rFonts w:hint="eastAsia" w:ascii="仿宋_GB2312" w:hAnsi="仿宋_GB2312" w:eastAsia="仿宋_GB2312" w:cs="仿宋_GB2312"/>
          <w:sz w:val="28"/>
          <w:szCs w:val="28"/>
          <w:highlight w:val="none"/>
          <w:lang w:val="en-US" w:eastAsia="zh-CN"/>
        </w:rPr>
        <w:t>通知</w:t>
      </w:r>
      <w:r>
        <w:rPr>
          <w:rFonts w:hint="eastAsia" w:ascii="仿宋_GB2312" w:hAnsi="仿宋_GB2312" w:eastAsia="仿宋_GB2312" w:cs="仿宋_GB2312"/>
          <w:sz w:val="28"/>
          <w:szCs w:val="28"/>
          <w:highlight w:val="none"/>
        </w:rPr>
        <w:t>整改</w:t>
      </w:r>
      <w:r>
        <w:rPr>
          <w:rFonts w:hint="eastAsia" w:ascii="仿宋_GB2312" w:hAnsi="仿宋_GB2312" w:eastAsia="仿宋_GB2312" w:cs="仿宋_GB2312"/>
          <w:sz w:val="28"/>
          <w:szCs w:val="28"/>
          <w:highlight w:val="none"/>
          <w:lang w:val="en-US" w:eastAsia="zh-CN"/>
        </w:rPr>
        <w:t>后仍拒绝整改或在收到通知后【2】日内仍未完成整改的，</w:t>
      </w:r>
      <w:r>
        <w:rPr>
          <w:rFonts w:hint="eastAsia" w:ascii="仿宋_GB2312" w:hAnsi="仿宋_GB2312" w:eastAsia="仿宋_GB2312" w:cs="仿宋_GB2312"/>
          <w:sz w:val="28"/>
          <w:szCs w:val="28"/>
          <w:highlight w:val="none"/>
        </w:rPr>
        <w:t>甲方有权</w:t>
      </w:r>
      <w:r>
        <w:rPr>
          <w:rFonts w:hint="eastAsia" w:ascii="仿宋_GB2312" w:hAnsi="仿宋_GB2312" w:eastAsia="仿宋_GB2312" w:cs="仿宋_GB2312"/>
          <w:sz w:val="28"/>
          <w:szCs w:val="28"/>
          <w:highlight w:val="none"/>
          <w:lang w:val="en-US" w:eastAsia="zh-CN"/>
        </w:rPr>
        <w:t>单方</w:t>
      </w:r>
      <w:r>
        <w:rPr>
          <w:rFonts w:hint="eastAsia" w:ascii="仿宋_GB2312" w:hAnsi="仿宋_GB2312" w:eastAsia="仿宋_GB2312" w:cs="仿宋_GB2312"/>
          <w:sz w:val="28"/>
          <w:szCs w:val="28"/>
          <w:highlight w:val="none"/>
        </w:rPr>
        <w:t>解除合同，</w:t>
      </w:r>
      <w:r>
        <w:rPr>
          <w:rFonts w:hint="eastAsia" w:ascii="仿宋_GB2312" w:hAnsi="仿宋_GB2312" w:eastAsia="仿宋_GB2312" w:cs="仿宋_GB2312"/>
          <w:sz w:val="28"/>
          <w:szCs w:val="28"/>
          <w:highlight w:val="none"/>
          <w:lang w:val="en-US" w:eastAsia="zh-CN"/>
        </w:rPr>
        <w:t>乙方维保费用按实际服务天数结算，即合同结算后总价/730天=</w:t>
      </w:r>
      <w:r>
        <w:rPr>
          <w:rFonts w:hint="eastAsia" w:ascii="仿宋_GB2312" w:hAnsi="仿宋_GB2312" w:eastAsia="仿宋_GB2312" w:cs="仿宋_GB2312"/>
          <w:sz w:val="28"/>
          <w:szCs w:val="28"/>
          <w:highlight w:val="yellow"/>
          <w:lang w:val="en-US" w:eastAsia="zh-CN"/>
        </w:rPr>
        <w:t xml:space="preserve">  元</w:t>
      </w:r>
      <w:r>
        <w:rPr>
          <w:rFonts w:hint="eastAsia" w:ascii="仿宋_GB2312" w:hAnsi="仿宋_GB2312" w:eastAsia="仿宋_GB2312" w:cs="仿宋_GB2312"/>
          <w:sz w:val="28"/>
          <w:szCs w:val="28"/>
          <w:highlight w:val="none"/>
          <w:lang w:val="en-US" w:eastAsia="zh-CN"/>
        </w:rPr>
        <w:t>/天（前述费用为乙方无违约或扣费情况下的费用，最终按照实际结算）</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再根据本合同第五条第（一）款约定扣除乙方维保不到位的罚款后，以及根据附件二《</w:t>
      </w:r>
      <w:r>
        <w:rPr>
          <w:rFonts w:hint="eastAsia" w:ascii="仿宋_GB2312" w:hAnsi="仿宋_GB2312" w:eastAsia="仿宋_GB2312" w:cs="仿宋_GB2312"/>
          <w:sz w:val="28"/>
          <w:szCs w:val="28"/>
          <w:highlight w:val="none"/>
        </w:rPr>
        <w:t>消防系统维护保养评分表</w:t>
      </w:r>
      <w:r>
        <w:rPr>
          <w:rFonts w:hint="eastAsia" w:ascii="仿宋_GB2312" w:hAnsi="仿宋_GB2312" w:eastAsia="仿宋_GB2312" w:cs="仿宋_GB2312"/>
          <w:sz w:val="28"/>
          <w:szCs w:val="28"/>
          <w:highlight w:val="none"/>
          <w:lang w:val="en-US" w:eastAsia="zh-CN"/>
        </w:rPr>
        <w:t>》扣减费用（如需）后，向乙方</w:t>
      </w:r>
      <w:r>
        <w:rPr>
          <w:rFonts w:hint="eastAsia" w:ascii="仿宋_GB2312" w:hAnsi="仿宋_GB2312" w:eastAsia="仿宋_GB2312" w:cs="仿宋_GB2312"/>
          <w:sz w:val="28"/>
          <w:szCs w:val="28"/>
          <w:highlight w:val="none"/>
        </w:rPr>
        <w:t>支付，造成甲方</w:t>
      </w:r>
      <w:r>
        <w:rPr>
          <w:rFonts w:hint="eastAsia" w:ascii="仿宋_GB2312" w:hAnsi="仿宋_GB2312" w:eastAsia="仿宋_GB2312" w:cs="仿宋_GB2312"/>
          <w:sz w:val="28"/>
          <w:szCs w:val="28"/>
          <w:highlight w:val="none"/>
          <w:lang w:val="en-US" w:eastAsia="zh-CN"/>
        </w:rPr>
        <w:t>其他</w:t>
      </w:r>
      <w:r>
        <w:rPr>
          <w:rFonts w:hint="eastAsia" w:ascii="仿宋_GB2312" w:hAnsi="仿宋_GB2312" w:eastAsia="仿宋_GB2312" w:cs="仿宋_GB2312"/>
          <w:sz w:val="28"/>
          <w:szCs w:val="28"/>
          <w:highlight w:val="none"/>
        </w:rPr>
        <w:t>损失的由乙方另行赔偿。</w:t>
      </w:r>
      <w:r>
        <w:rPr>
          <w:rFonts w:hint="eastAsia" w:ascii="仿宋_GB2312" w:hAnsi="仿宋_GB2312" w:eastAsia="仿宋_GB2312" w:cs="仿宋_GB2312"/>
          <w:sz w:val="28"/>
          <w:szCs w:val="28"/>
          <w:highlight w:val="none"/>
          <w:lang w:val="en-US" w:eastAsia="zh-CN"/>
        </w:rPr>
        <w:t>如乙方未完成月度保养，甲方有权不予支付当月度服务费（以甲方代表确认的打卡记录为准）。</w:t>
      </w:r>
    </w:p>
    <w:p w14:paraId="301A918F">
      <w:pPr>
        <w:pStyle w:val="60"/>
        <w:numPr>
          <w:ilvl w:val="0"/>
          <w:numId w:val="8"/>
        </w:numPr>
        <w:tabs>
          <w:tab w:val="left" w:pos="840"/>
        </w:tabs>
        <w:spacing w:line="360" w:lineRule="auto"/>
        <w:ind w:left="0" w:leftChars="0" w:firstLine="420" w:firstLineChars="0"/>
        <w:contextualSpacing/>
        <w:rPr>
          <w:rFonts w:hint="eastAsia" w:ascii="仿宋_GB2312" w:hAnsi="仿宋_GB2312" w:eastAsia="仿宋_GB2312" w:cs="仿宋_GB2312"/>
          <w:sz w:val="28"/>
          <w:szCs w:val="28"/>
          <w:highlight w:val="none"/>
          <w:lang w:bidi="ar"/>
        </w:rPr>
      </w:pPr>
      <w:r>
        <w:rPr>
          <w:rFonts w:hint="eastAsia" w:ascii="仿宋_GB2312" w:hAnsi="仿宋_GB2312" w:eastAsia="仿宋_GB2312" w:cs="仿宋_GB2312"/>
          <w:sz w:val="28"/>
          <w:szCs w:val="28"/>
          <w:highlight w:val="none"/>
        </w:rPr>
        <w:t>在合同有效期限内，若乙方提出提前解除合同，</w:t>
      </w:r>
      <w:r>
        <w:rPr>
          <w:rFonts w:hint="eastAsia" w:ascii="仿宋_GB2312" w:hAnsi="仿宋_GB2312" w:eastAsia="仿宋_GB2312" w:cs="仿宋_GB2312"/>
          <w:sz w:val="28"/>
          <w:szCs w:val="28"/>
          <w:highlight w:val="none"/>
          <w:lang w:val="en-US" w:eastAsia="zh-CN"/>
        </w:rPr>
        <w:t>或因乙方原因导致甲方提前解除合同的，</w:t>
      </w:r>
      <w:r>
        <w:rPr>
          <w:rFonts w:hint="eastAsia" w:ascii="仿宋_GB2312" w:hAnsi="仿宋_GB2312" w:eastAsia="仿宋_GB2312" w:cs="仿宋_GB2312"/>
          <w:sz w:val="28"/>
          <w:szCs w:val="28"/>
          <w:highlight w:val="none"/>
        </w:rPr>
        <w:t>则乙方须向甲方支付合同总额20%的违约金</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甲方有权在应付的维保结算费用中直接抵消</w:t>
      </w:r>
      <w:r>
        <w:rPr>
          <w:rFonts w:hint="eastAsia" w:ascii="仿宋_GB2312" w:hAnsi="仿宋_GB2312" w:eastAsia="仿宋_GB2312" w:cs="仿宋_GB2312"/>
          <w:sz w:val="28"/>
          <w:szCs w:val="28"/>
          <w:highlight w:val="none"/>
          <w:lang w:eastAsia="zh-CN"/>
        </w:rPr>
        <w:t>该违约金；</w:t>
      </w:r>
      <w:r>
        <w:rPr>
          <w:rFonts w:hint="eastAsia" w:ascii="仿宋_GB2312" w:hAnsi="仿宋_GB2312" w:eastAsia="仿宋_GB2312" w:cs="仿宋_GB2312"/>
          <w:sz w:val="28"/>
          <w:szCs w:val="28"/>
          <w:highlight w:val="none"/>
          <w:lang w:val="en-US" w:eastAsia="zh-CN"/>
        </w:rPr>
        <w:t>乙方维保费用按实际服务天数结算，即合同结算后总价/730天</w:t>
      </w:r>
      <w:r>
        <w:rPr>
          <w:rFonts w:hint="eastAsia" w:ascii="仿宋_GB2312" w:hAnsi="仿宋_GB2312" w:eastAsia="仿宋_GB2312" w:cs="仿宋_GB2312"/>
          <w:sz w:val="28"/>
          <w:szCs w:val="28"/>
          <w:highlight w:val="yellow"/>
          <w:lang w:val="en-US" w:eastAsia="zh-CN"/>
        </w:rPr>
        <w:t>=  元</w:t>
      </w:r>
      <w:r>
        <w:rPr>
          <w:rFonts w:hint="eastAsia" w:ascii="仿宋_GB2312" w:hAnsi="仿宋_GB2312" w:eastAsia="仿宋_GB2312" w:cs="仿宋_GB2312"/>
          <w:sz w:val="28"/>
          <w:szCs w:val="28"/>
          <w:highlight w:val="none"/>
          <w:lang w:val="en-US" w:eastAsia="zh-CN"/>
        </w:rPr>
        <w:t>/天（前述费用为乙方无违约或扣费情况下的费用，最终按照实际结算）</w:t>
      </w:r>
      <w:r>
        <w:rPr>
          <w:rFonts w:hint="eastAsia" w:ascii="仿宋_GB2312" w:hAnsi="仿宋_GB2312" w:eastAsia="仿宋_GB2312" w:cs="仿宋_GB2312"/>
          <w:sz w:val="28"/>
          <w:szCs w:val="28"/>
          <w:highlight w:val="none"/>
          <w:lang w:bidi="ar"/>
        </w:rPr>
        <w:t>。</w:t>
      </w:r>
    </w:p>
    <w:p w14:paraId="42241AF3">
      <w:pPr>
        <w:pStyle w:val="60"/>
        <w:numPr>
          <w:ilvl w:val="0"/>
          <w:numId w:val="8"/>
        </w:numPr>
        <w:tabs>
          <w:tab w:val="left" w:pos="840"/>
        </w:tabs>
        <w:spacing w:line="360" w:lineRule="auto"/>
        <w:ind w:left="0" w:leftChars="0" w:firstLine="420" w:firstLineChars="0"/>
        <w:contextualSpacing/>
        <w:rPr>
          <w:rFonts w:hint="eastAsia" w:ascii="仿宋_GB2312" w:hAnsi="仿宋_GB2312" w:eastAsia="仿宋_GB2312" w:cs="仿宋_GB2312"/>
          <w:sz w:val="28"/>
          <w:szCs w:val="28"/>
          <w:highlight w:val="none"/>
          <w:lang w:bidi="ar"/>
        </w:rPr>
      </w:pPr>
      <w:r>
        <w:rPr>
          <w:rFonts w:hint="eastAsia" w:ascii="仿宋_GB2312" w:hAnsi="仿宋_GB2312" w:eastAsia="仿宋_GB2312" w:cs="仿宋_GB2312"/>
          <w:sz w:val="28"/>
          <w:szCs w:val="28"/>
          <w:highlight w:val="none"/>
          <w:lang w:bidi="ar"/>
        </w:rPr>
        <w:t>若乙方项目负责人在超过</w:t>
      </w:r>
      <w:r>
        <w:rPr>
          <w:rFonts w:hint="eastAsia" w:ascii="仿宋_GB2312" w:hAnsi="仿宋_GB2312" w:eastAsia="仿宋_GB2312" w:cs="仿宋_GB2312"/>
          <w:sz w:val="28"/>
          <w:szCs w:val="28"/>
          <w:highlight w:val="none"/>
          <w:lang w:val="en-US" w:eastAsia="zh-CN" w:bidi="ar"/>
        </w:rPr>
        <w:t>一</w:t>
      </w:r>
      <w:r>
        <w:rPr>
          <w:rFonts w:hint="eastAsia" w:ascii="仿宋_GB2312" w:hAnsi="仿宋_GB2312" w:eastAsia="仿宋_GB2312" w:cs="仿宋_GB2312"/>
          <w:sz w:val="28"/>
          <w:szCs w:val="28"/>
          <w:highlight w:val="none"/>
          <w:lang w:bidi="ar"/>
        </w:rPr>
        <w:t>小时的时间内无法取得联系，甲方有权对乙方施以500至3000元的违约金处罚</w:t>
      </w:r>
      <w:r>
        <w:rPr>
          <w:rFonts w:hint="eastAsia" w:ascii="仿宋_GB2312" w:hAnsi="仿宋_GB2312" w:eastAsia="仿宋_GB2312" w:cs="仿宋_GB2312"/>
          <w:sz w:val="28"/>
          <w:szCs w:val="28"/>
          <w:highlight w:val="none"/>
          <w:lang w:eastAsia="zh-CN" w:bidi="ar"/>
        </w:rPr>
        <w:t>，</w:t>
      </w:r>
      <w:r>
        <w:rPr>
          <w:rFonts w:hint="eastAsia" w:ascii="仿宋_GB2312" w:hAnsi="仿宋_GB2312" w:eastAsia="仿宋_GB2312" w:cs="仿宋_GB2312"/>
          <w:sz w:val="28"/>
          <w:szCs w:val="28"/>
          <w:highlight w:val="none"/>
          <w:lang w:val="en-US" w:eastAsia="zh-CN" w:bidi="ar"/>
        </w:rPr>
        <w:t>因乙方未及时相应造成甲方其他损失的，甲方有权追偿</w:t>
      </w:r>
      <w:r>
        <w:rPr>
          <w:rFonts w:hint="eastAsia" w:ascii="仿宋_GB2312" w:hAnsi="仿宋_GB2312" w:eastAsia="仿宋_GB2312" w:cs="仿宋_GB2312"/>
          <w:sz w:val="28"/>
          <w:szCs w:val="28"/>
          <w:highlight w:val="none"/>
          <w:lang w:bidi="ar"/>
        </w:rPr>
        <w:t>。</w:t>
      </w:r>
    </w:p>
    <w:p w14:paraId="59C0527F">
      <w:pPr>
        <w:pStyle w:val="60"/>
        <w:numPr>
          <w:ilvl w:val="0"/>
          <w:numId w:val="8"/>
        </w:numPr>
        <w:tabs>
          <w:tab w:val="left" w:pos="840"/>
        </w:tabs>
        <w:spacing w:line="360" w:lineRule="auto"/>
        <w:ind w:left="0" w:leftChars="0" w:firstLine="420" w:firstLineChars="0"/>
        <w:contextualSpacing/>
        <w:rPr>
          <w:rFonts w:hint="eastAsia" w:ascii="仿宋_GB2312" w:hAnsi="仿宋_GB2312" w:eastAsia="仿宋_GB2312" w:cs="仿宋_GB2312"/>
          <w:sz w:val="28"/>
          <w:szCs w:val="28"/>
          <w:highlight w:val="none"/>
          <w:lang w:bidi="ar"/>
        </w:rPr>
      </w:pPr>
      <w:r>
        <w:rPr>
          <w:rFonts w:hint="eastAsia" w:ascii="仿宋_GB2312" w:hAnsi="仿宋_GB2312" w:eastAsia="仿宋_GB2312" w:cs="仿宋_GB2312"/>
          <w:sz w:val="28"/>
          <w:szCs w:val="28"/>
          <w:highlight w:val="none"/>
          <w:lang w:val="en-US" w:eastAsia="zh-CN" w:bidi="ar"/>
        </w:rPr>
        <w:t>若乙方在服务期间内存在工作失职或失误行为，甲方有权</w:t>
      </w:r>
      <w:r>
        <w:rPr>
          <w:rFonts w:hint="eastAsia" w:ascii="仿宋_GB2312" w:hAnsi="仿宋_GB2312" w:eastAsia="仿宋_GB2312" w:cs="仿宋_GB2312"/>
          <w:sz w:val="28"/>
          <w:szCs w:val="28"/>
          <w:highlight w:val="none"/>
          <w:lang w:bidi="ar"/>
        </w:rPr>
        <w:t>对乙方施以500至3000元的违约金处罚</w:t>
      </w:r>
      <w:r>
        <w:rPr>
          <w:rFonts w:hint="eastAsia" w:ascii="仿宋_GB2312" w:hAnsi="仿宋_GB2312" w:eastAsia="仿宋_GB2312" w:cs="仿宋_GB2312"/>
          <w:sz w:val="28"/>
          <w:szCs w:val="28"/>
          <w:highlight w:val="none"/>
          <w:lang w:val="en-US" w:eastAsia="zh-CN" w:bidi="ar"/>
        </w:rPr>
        <w:t>，并要求乙方赔偿甲方因此遭受的全部损失。</w:t>
      </w:r>
    </w:p>
    <w:p w14:paraId="673B7B5A">
      <w:pPr>
        <w:pStyle w:val="60"/>
        <w:numPr>
          <w:ilvl w:val="0"/>
          <w:numId w:val="8"/>
        </w:numPr>
        <w:tabs>
          <w:tab w:val="left" w:pos="840"/>
        </w:tabs>
        <w:spacing w:line="360" w:lineRule="auto"/>
        <w:ind w:left="0" w:leftChars="0" w:firstLine="420" w:firstLineChars="0"/>
        <w:contextualSpacing/>
        <w:rPr>
          <w:rFonts w:hint="eastAsia" w:ascii="仿宋_GB2312" w:hAnsi="仿宋_GB2312" w:eastAsia="仿宋_GB2312" w:cs="仿宋_GB2312"/>
          <w:sz w:val="28"/>
          <w:szCs w:val="28"/>
          <w:highlight w:val="none"/>
          <w:lang w:bidi="ar"/>
        </w:rPr>
      </w:pPr>
      <w:r>
        <w:rPr>
          <w:rFonts w:hint="eastAsia" w:ascii="仿宋_GB2312" w:hAnsi="仿宋_GB2312" w:eastAsia="仿宋_GB2312" w:cs="仿宋_GB2312"/>
          <w:sz w:val="28"/>
          <w:szCs w:val="28"/>
          <w:highlight w:val="none"/>
          <w:lang w:bidi="ar"/>
        </w:rPr>
        <w:t>乙方违反约定转包或分包本项目的，甲方有权单方解除合同，乙方应向甲方支付合同总额</w:t>
      </w:r>
      <w:r>
        <w:rPr>
          <w:rFonts w:hint="eastAsia" w:ascii="仿宋_GB2312" w:hAnsi="仿宋_GB2312" w:eastAsia="仿宋_GB2312" w:cs="仿宋_GB2312"/>
          <w:sz w:val="28"/>
          <w:szCs w:val="28"/>
          <w:highlight w:val="none"/>
          <w:lang w:val="en-US" w:eastAsia="zh-CN" w:bidi="ar"/>
        </w:rPr>
        <w:t>2</w:t>
      </w:r>
      <w:r>
        <w:rPr>
          <w:rFonts w:hint="eastAsia" w:ascii="仿宋_GB2312" w:hAnsi="仿宋_GB2312" w:eastAsia="仿宋_GB2312" w:cs="仿宋_GB2312"/>
          <w:sz w:val="28"/>
          <w:szCs w:val="28"/>
          <w:highlight w:val="none"/>
          <w:lang w:bidi="ar"/>
        </w:rPr>
        <w:t>0%的违约金，造成甲方损失的，乙方应另行赔偿</w:t>
      </w:r>
      <w:r>
        <w:rPr>
          <w:rFonts w:hint="eastAsia" w:ascii="仿宋_GB2312" w:hAnsi="仿宋_GB2312" w:eastAsia="仿宋_GB2312" w:cs="仿宋_GB2312"/>
          <w:sz w:val="28"/>
          <w:szCs w:val="28"/>
          <w:highlight w:val="none"/>
          <w:lang w:eastAsia="zh-CN" w:bidi="ar"/>
        </w:rPr>
        <w:t>。</w:t>
      </w:r>
    </w:p>
    <w:p w14:paraId="38BAEE70">
      <w:pPr>
        <w:pStyle w:val="60"/>
        <w:numPr>
          <w:ilvl w:val="0"/>
          <w:numId w:val="1"/>
        </w:numPr>
        <w:tabs>
          <w:tab w:val="left" w:pos="567"/>
          <w:tab w:val="left" w:pos="3969"/>
          <w:tab w:val="left" w:pos="4111"/>
          <w:tab w:val="left" w:pos="4253"/>
          <w:tab w:val="left" w:pos="4536"/>
        </w:tabs>
        <w:spacing w:line="360" w:lineRule="auto"/>
        <w:contextualSpacing/>
        <w:jc w:val="center"/>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服务评分</w:t>
      </w:r>
    </w:p>
    <w:p w14:paraId="3549D045">
      <w:pPr>
        <w:pStyle w:val="60"/>
        <w:numPr>
          <w:ilvl w:val="0"/>
          <w:numId w:val="9"/>
        </w:numPr>
        <w:tabs>
          <w:tab w:val="left" w:pos="840"/>
        </w:tabs>
        <w:spacing w:line="360" w:lineRule="auto"/>
        <w:ind w:left="0" w:leftChars="0" w:firstLine="420" w:firstLineChars="0"/>
        <w:contextualSpacing/>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甲方将对乙方的服务进行季度性评分，乙方须遵循甲方所制定的规章制度标准执行。</w:t>
      </w:r>
    </w:p>
    <w:p w14:paraId="318FD823">
      <w:pPr>
        <w:pStyle w:val="60"/>
        <w:numPr>
          <w:ilvl w:val="0"/>
          <w:numId w:val="9"/>
        </w:numPr>
        <w:tabs>
          <w:tab w:val="left" w:pos="840"/>
        </w:tabs>
        <w:spacing w:line="360" w:lineRule="auto"/>
        <w:ind w:left="0" w:leftChars="0" w:firstLine="420" w:firstLineChars="0"/>
        <w:contextualSpacing/>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考核评分以100分为基准，根据本合同附件</w:t>
      </w:r>
      <w:r>
        <w:rPr>
          <w:rFonts w:hint="eastAsia" w:ascii="仿宋_GB2312" w:hAnsi="仿宋_GB2312" w:eastAsia="仿宋_GB2312" w:cs="仿宋_GB2312"/>
          <w:sz w:val="28"/>
          <w:szCs w:val="28"/>
          <w:highlight w:val="none"/>
          <w:lang w:val="en-US" w:eastAsia="zh-CN"/>
        </w:rPr>
        <w:t>二</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消防系统维护保养评分表</w:t>
      </w:r>
      <w:r>
        <w:rPr>
          <w:rFonts w:hint="eastAsia" w:ascii="仿宋_GB2312" w:hAnsi="仿宋_GB2312" w:eastAsia="仿宋_GB2312" w:cs="仿宋_GB2312"/>
          <w:sz w:val="28"/>
          <w:szCs w:val="28"/>
          <w:highlight w:val="none"/>
        </w:rPr>
        <w:t>》的具体内容进行相应的扣分。</w:t>
      </w:r>
    </w:p>
    <w:p w14:paraId="150A9DFB">
      <w:pPr>
        <w:pStyle w:val="60"/>
        <w:numPr>
          <w:ilvl w:val="0"/>
          <w:numId w:val="9"/>
        </w:numPr>
        <w:tabs>
          <w:tab w:val="left" w:pos="840"/>
        </w:tabs>
        <w:spacing w:line="360" w:lineRule="auto"/>
        <w:ind w:left="0" w:leftChars="0" w:firstLine="420" w:firstLineChars="0"/>
        <w:contextualSpacing/>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甲方将在下季度，依据上季度的考核得分，作为向乙方支付上一季度维护保养费用的结算依据。若季度内考核得分 高于90分（含90分），甲方将依照合同约定全额支付上一季度的维护保养费用。若季度内出现考核得分89分（含89分）至70分（含70分）的情况，甲方有权对每低于1分的考核得分扣减200元人民币的维护保养费用。计算公式为：扣减金额=【90分-得分（89分～70分)】x200元人民币。若季度内出现考核得分低于69分（含69分），则视为服务质量严重不达标，甲方有权扣减该季度的全部维护保养费用，且视情节严重程度有权与乙方解除服务合同。</w:t>
      </w:r>
    </w:p>
    <w:p w14:paraId="0EBFE4EC">
      <w:pPr>
        <w:pStyle w:val="60"/>
        <w:numPr>
          <w:ilvl w:val="0"/>
          <w:numId w:val="1"/>
        </w:numPr>
        <w:tabs>
          <w:tab w:val="left" w:pos="567"/>
          <w:tab w:val="left" w:pos="3969"/>
          <w:tab w:val="left" w:pos="4111"/>
          <w:tab w:val="left" w:pos="4253"/>
          <w:tab w:val="left" w:pos="4536"/>
        </w:tabs>
        <w:spacing w:line="360" w:lineRule="auto"/>
        <w:contextualSpacing/>
        <w:jc w:val="center"/>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不可抗力</w:t>
      </w:r>
    </w:p>
    <w:p w14:paraId="6DC8147B">
      <w:pPr>
        <w:pStyle w:val="60"/>
        <w:tabs>
          <w:tab w:val="left" w:pos="840"/>
        </w:tabs>
        <w:spacing w:line="360" w:lineRule="auto"/>
        <w:ind w:firstLine="560" w:firstLineChars="200"/>
        <w:contextualSpacing/>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（一）由于不可预见、不可避免、不可克服等不可抗力的原因，一方不能履行合同义务的，应当在不可抗力发生之日起</w:t>
      </w:r>
      <w:r>
        <w:rPr>
          <w:rFonts w:hint="eastAsia" w:ascii="仿宋_GB2312" w:hAnsi="仿宋_GB2312" w:eastAsia="仿宋_GB2312" w:cs="仿宋_GB2312"/>
          <w:sz w:val="28"/>
          <w:szCs w:val="28"/>
          <w:highlight w:val="none"/>
          <w:u w:val="single"/>
        </w:rPr>
        <w:t xml:space="preserve"> 7 </w:t>
      </w:r>
      <w:r>
        <w:rPr>
          <w:rFonts w:hint="eastAsia" w:ascii="仿宋_GB2312" w:hAnsi="仿宋_GB2312" w:eastAsia="仿宋_GB2312" w:cs="仿宋_GB2312"/>
          <w:sz w:val="28"/>
          <w:szCs w:val="28"/>
          <w:highlight w:val="none"/>
        </w:rPr>
        <w:t>天内以书面形式通知对方，并提供政府有关机构出具的不可抗力事件发生的证明。</w:t>
      </w:r>
    </w:p>
    <w:p w14:paraId="6E4F4D9E">
      <w:pPr>
        <w:pStyle w:val="60"/>
        <w:tabs>
          <w:tab w:val="left" w:pos="840"/>
        </w:tabs>
        <w:spacing w:line="360" w:lineRule="auto"/>
        <w:ind w:firstLine="560" w:firstLineChars="200"/>
        <w:contextualSpacing/>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（二）不可抗力事件发生后，甲方和乙方应当积极寻求以合理的方式履行本合同。如不可抗力无法消除，致使合同目的无法实现的，双方均有权解除合同，且均不互相索赔。</w:t>
      </w:r>
    </w:p>
    <w:p w14:paraId="3E4813AA">
      <w:pPr>
        <w:pStyle w:val="60"/>
        <w:numPr>
          <w:ilvl w:val="255"/>
          <w:numId w:val="0"/>
        </w:numPr>
        <w:tabs>
          <w:tab w:val="left" w:pos="567"/>
          <w:tab w:val="left" w:pos="3969"/>
          <w:tab w:val="left" w:pos="4111"/>
          <w:tab w:val="left" w:pos="4253"/>
          <w:tab w:val="left" w:pos="4536"/>
        </w:tabs>
        <w:spacing w:line="360" w:lineRule="auto"/>
        <w:ind w:left="-720"/>
        <w:contextualSpacing/>
        <w:jc w:val="center"/>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lang w:val="en-US" w:eastAsia="zh-CN"/>
        </w:rPr>
        <w:t>九</w:t>
      </w:r>
      <w:r>
        <w:rPr>
          <w:rFonts w:hint="eastAsia" w:ascii="仿宋_GB2312" w:hAnsi="仿宋_GB2312" w:eastAsia="仿宋_GB2312" w:cs="仿宋_GB2312"/>
          <w:b/>
          <w:sz w:val="28"/>
          <w:szCs w:val="28"/>
          <w:highlight w:val="none"/>
        </w:rPr>
        <w:t>、争议及解决办法</w:t>
      </w:r>
    </w:p>
    <w:p w14:paraId="325C86C0">
      <w:pPr>
        <w:pStyle w:val="60"/>
        <w:tabs>
          <w:tab w:val="left" w:pos="840"/>
        </w:tabs>
        <w:spacing w:line="360" w:lineRule="auto"/>
        <w:ind w:firstLine="560" w:firstLineChars="200"/>
        <w:contextualSpacing/>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本合同发生争议，由双方协商或由政府采购监管部门调解解决，协商或调解不成时按以下第</w:t>
      </w:r>
      <w:r>
        <w:rPr>
          <w:rFonts w:hint="eastAsia" w:ascii="仿宋_GB2312" w:hAnsi="仿宋_GB2312" w:eastAsia="仿宋_GB2312" w:cs="仿宋_GB2312"/>
          <w:sz w:val="28"/>
          <w:szCs w:val="28"/>
          <w:highlight w:val="none"/>
          <w:u w:val="single"/>
        </w:rPr>
        <w:t xml:space="preserve"> 2 </w:t>
      </w:r>
      <w:r>
        <w:rPr>
          <w:rFonts w:hint="eastAsia" w:ascii="仿宋_GB2312" w:hAnsi="仿宋_GB2312" w:eastAsia="仿宋_GB2312" w:cs="仿宋_GB2312"/>
          <w:sz w:val="28"/>
          <w:szCs w:val="28"/>
          <w:highlight w:val="none"/>
        </w:rPr>
        <w:t>种方式解决：</w:t>
      </w:r>
    </w:p>
    <w:p w14:paraId="2AA8C276">
      <w:pPr>
        <w:pStyle w:val="60"/>
        <w:widowControl/>
        <w:numPr>
          <w:ilvl w:val="2"/>
          <w:numId w:val="10"/>
        </w:numPr>
        <w:spacing w:line="360" w:lineRule="auto"/>
        <w:contextualSpacing/>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中国广州仲裁委员会仲裁；</w:t>
      </w:r>
    </w:p>
    <w:p w14:paraId="26DB49B1">
      <w:pPr>
        <w:pStyle w:val="60"/>
        <w:widowControl/>
        <w:numPr>
          <w:ilvl w:val="2"/>
          <w:numId w:val="10"/>
        </w:numPr>
        <w:spacing w:line="360" w:lineRule="auto"/>
        <w:contextualSpacing/>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向甲方所在地人民法院提起诉讼。</w:t>
      </w:r>
    </w:p>
    <w:p w14:paraId="63DF6764">
      <w:pPr>
        <w:pStyle w:val="60"/>
        <w:numPr>
          <w:ilvl w:val="255"/>
          <w:numId w:val="0"/>
        </w:numPr>
        <w:tabs>
          <w:tab w:val="left" w:pos="567"/>
          <w:tab w:val="left" w:pos="3969"/>
          <w:tab w:val="left" w:pos="4111"/>
          <w:tab w:val="left" w:pos="4253"/>
          <w:tab w:val="left" w:pos="4536"/>
        </w:tabs>
        <w:spacing w:line="360" w:lineRule="auto"/>
        <w:contextualSpacing/>
        <w:jc w:val="center"/>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lang w:val="en-US" w:eastAsia="zh-CN"/>
        </w:rPr>
        <w:t>十、</w:t>
      </w:r>
      <w:r>
        <w:rPr>
          <w:rFonts w:hint="eastAsia" w:ascii="仿宋_GB2312" w:hAnsi="仿宋_GB2312" w:eastAsia="仿宋_GB2312" w:cs="仿宋_GB2312"/>
          <w:b/>
          <w:sz w:val="28"/>
          <w:szCs w:val="28"/>
          <w:highlight w:val="none"/>
        </w:rPr>
        <w:t>税费</w:t>
      </w:r>
    </w:p>
    <w:p w14:paraId="5F7DD806">
      <w:pPr>
        <w:pStyle w:val="60"/>
        <w:tabs>
          <w:tab w:val="left" w:pos="567"/>
          <w:tab w:val="left" w:pos="3969"/>
          <w:tab w:val="left" w:pos="4111"/>
          <w:tab w:val="left" w:pos="4253"/>
          <w:tab w:val="left" w:pos="4536"/>
        </w:tabs>
        <w:spacing w:line="360" w:lineRule="auto"/>
        <w:contextualSpacing/>
        <w:jc w:val="center"/>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在中国境内、外发生的与本合同执行有关的一切税费均由乙方负担。</w:t>
      </w:r>
    </w:p>
    <w:p w14:paraId="0374688B">
      <w:pPr>
        <w:pStyle w:val="60"/>
        <w:numPr>
          <w:ilvl w:val="255"/>
          <w:numId w:val="0"/>
        </w:numPr>
        <w:tabs>
          <w:tab w:val="left" w:pos="567"/>
          <w:tab w:val="left" w:pos="3969"/>
          <w:tab w:val="left" w:pos="4111"/>
          <w:tab w:val="left" w:pos="4253"/>
          <w:tab w:val="left" w:pos="4536"/>
        </w:tabs>
        <w:spacing w:line="360" w:lineRule="auto"/>
        <w:contextualSpacing/>
        <w:jc w:val="center"/>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lang w:val="en-US" w:eastAsia="zh-CN"/>
        </w:rPr>
        <w:t>十一、</w:t>
      </w:r>
      <w:r>
        <w:rPr>
          <w:rFonts w:hint="eastAsia" w:ascii="仿宋_GB2312" w:hAnsi="仿宋_GB2312" w:eastAsia="仿宋_GB2312" w:cs="仿宋_GB2312"/>
          <w:b/>
          <w:sz w:val="28"/>
          <w:szCs w:val="28"/>
          <w:highlight w:val="none"/>
        </w:rPr>
        <w:t>其他</w:t>
      </w:r>
    </w:p>
    <w:p w14:paraId="58D5DA56">
      <w:pPr>
        <w:pStyle w:val="60"/>
        <w:widowControl/>
        <w:spacing w:line="360" w:lineRule="auto"/>
        <w:ind w:firstLine="560" w:firstLineChars="200"/>
        <w:contextualSpacing/>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（一）本合同一式</w:t>
      </w:r>
      <w:r>
        <w:rPr>
          <w:rFonts w:hint="eastAsia" w:ascii="仿宋_GB2312" w:hAnsi="仿宋_GB2312" w:eastAsia="仿宋_GB2312" w:cs="仿宋_GB2312"/>
          <w:sz w:val="28"/>
          <w:szCs w:val="28"/>
          <w:highlight w:val="none"/>
          <w:u w:val="single"/>
        </w:rPr>
        <w:t>伍</w:t>
      </w:r>
      <w:r>
        <w:rPr>
          <w:rFonts w:hint="eastAsia" w:ascii="仿宋_GB2312" w:hAnsi="仿宋_GB2312" w:eastAsia="仿宋_GB2312" w:cs="仿宋_GB2312"/>
          <w:sz w:val="28"/>
          <w:szCs w:val="28"/>
          <w:highlight w:val="none"/>
        </w:rPr>
        <w:t>份，具有同等效力，甲方执</w:t>
      </w:r>
      <w:r>
        <w:rPr>
          <w:rFonts w:hint="eastAsia" w:ascii="仿宋_GB2312" w:hAnsi="仿宋_GB2312" w:eastAsia="仿宋_GB2312" w:cs="仿宋_GB2312"/>
          <w:sz w:val="28"/>
          <w:szCs w:val="28"/>
          <w:highlight w:val="none"/>
          <w:u w:val="single"/>
        </w:rPr>
        <w:t xml:space="preserve"> 肆 </w:t>
      </w:r>
      <w:r>
        <w:rPr>
          <w:rFonts w:hint="eastAsia" w:ascii="仿宋_GB2312" w:hAnsi="仿宋_GB2312" w:eastAsia="仿宋_GB2312" w:cs="仿宋_GB2312"/>
          <w:sz w:val="28"/>
          <w:szCs w:val="28"/>
          <w:highlight w:val="none"/>
        </w:rPr>
        <w:t>份、乙方执</w:t>
      </w:r>
      <w:r>
        <w:rPr>
          <w:rFonts w:hint="eastAsia" w:ascii="仿宋_GB2312" w:hAnsi="仿宋_GB2312" w:eastAsia="仿宋_GB2312" w:cs="仿宋_GB2312"/>
          <w:sz w:val="28"/>
          <w:szCs w:val="28"/>
          <w:highlight w:val="none"/>
          <w:u w:val="single"/>
        </w:rPr>
        <w:t xml:space="preserve"> 壹 </w:t>
      </w:r>
      <w:r>
        <w:rPr>
          <w:rFonts w:hint="eastAsia" w:ascii="仿宋_GB2312" w:hAnsi="仿宋_GB2312" w:eastAsia="仿宋_GB2312" w:cs="仿宋_GB2312"/>
          <w:sz w:val="28"/>
          <w:szCs w:val="28"/>
          <w:highlight w:val="none"/>
        </w:rPr>
        <w:t>份，合同自双方签字盖章之日起生效。</w:t>
      </w:r>
    </w:p>
    <w:p w14:paraId="07681138">
      <w:pPr>
        <w:pStyle w:val="60"/>
        <w:widowControl/>
        <w:spacing w:line="360" w:lineRule="auto"/>
        <w:ind w:firstLine="560" w:firstLineChars="200"/>
        <w:contextualSpacing/>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（二）本合同未尽事宜，由双方协商处理并签订补充协议。</w:t>
      </w:r>
    </w:p>
    <w:p w14:paraId="07F3AABC">
      <w:pPr>
        <w:pStyle w:val="49"/>
        <w:spacing w:line="360" w:lineRule="auto"/>
        <w:jc w:val="both"/>
        <w:rPr>
          <w:rFonts w:hint="eastAsia" w:ascii="仿宋_GB2312" w:hAnsi="仿宋_GB2312" w:eastAsia="仿宋_GB2312" w:cs="仿宋_GB2312"/>
          <w:bCs/>
          <w:spacing w:val="10"/>
          <w:kern w:val="0"/>
          <w:sz w:val="28"/>
          <w:szCs w:val="28"/>
          <w:highlight w:val="none"/>
          <w:lang w:val="en-US" w:eastAsia="zh-CN" w:bidi="ar-SA"/>
        </w:rPr>
      </w:pPr>
      <w:r>
        <w:rPr>
          <w:rFonts w:hint="eastAsia" w:ascii="仿宋_GB2312" w:hAnsi="仿宋_GB2312" w:eastAsia="仿宋_GB2312" w:cs="仿宋_GB2312"/>
          <w:bCs/>
          <w:spacing w:val="10"/>
          <w:kern w:val="0"/>
          <w:sz w:val="28"/>
          <w:szCs w:val="28"/>
          <w:highlight w:val="none"/>
          <w:lang w:val="en-US" w:eastAsia="zh-CN" w:bidi="ar-SA"/>
        </w:rPr>
        <w:t>附件一：《零配件报价表》</w:t>
      </w:r>
    </w:p>
    <w:p w14:paraId="63C25182">
      <w:pPr>
        <w:pStyle w:val="49"/>
        <w:spacing w:line="360" w:lineRule="auto"/>
        <w:jc w:val="both"/>
        <w:rPr>
          <w:rFonts w:hint="eastAsia" w:ascii="仿宋_GB2312" w:hAnsi="仿宋_GB2312" w:eastAsia="仿宋_GB2312" w:cs="仿宋_GB2312"/>
          <w:bCs/>
          <w:spacing w:val="10"/>
          <w:kern w:val="0"/>
          <w:sz w:val="28"/>
          <w:szCs w:val="28"/>
          <w:highlight w:val="none"/>
          <w:lang w:val="en-US" w:eastAsia="zh-CN" w:bidi="ar-SA"/>
        </w:rPr>
      </w:pPr>
      <w:r>
        <w:rPr>
          <w:rFonts w:hint="eastAsia" w:ascii="仿宋_GB2312" w:hAnsi="仿宋_GB2312" w:eastAsia="仿宋_GB2312" w:cs="仿宋_GB2312"/>
          <w:bCs/>
          <w:spacing w:val="10"/>
          <w:kern w:val="0"/>
          <w:sz w:val="28"/>
          <w:szCs w:val="28"/>
          <w:highlight w:val="none"/>
          <w:lang w:val="en-US" w:eastAsia="zh-CN" w:bidi="ar-SA"/>
        </w:rPr>
        <w:t>附件二：《消防系统维护保养评分表》</w:t>
      </w:r>
    </w:p>
    <w:p w14:paraId="61E2ECA8">
      <w:pPr>
        <w:pStyle w:val="49"/>
        <w:spacing w:line="360" w:lineRule="auto"/>
        <w:jc w:val="both"/>
        <w:rPr>
          <w:rFonts w:hint="eastAsia" w:ascii="仿宋_GB2312" w:hAnsi="仿宋_GB2312" w:eastAsia="仿宋_GB2312" w:cs="仿宋_GB2312"/>
          <w:bCs/>
          <w:spacing w:val="10"/>
          <w:kern w:val="0"/>
          <w:sz w:val="28"/>
          <w:szCs w:val="28"/>
          <w:highlight w:val="none"/>
          <w:lang w:val="en-US" w:eastAsia="zh-CN" w:bidi="ar-SA"/>
        </w:rPr>
      </w:pPr>
      <w:r>
        <w:rPr>
          <w:rFonts w:hint="eastAsia" w:ascii="仿宋_GB2312" w:hAnsi="仿宋_GB2312" w:eastAsia="仿宋_GB2312" w:cs="仿宋_GB2312"/>
          <w:bCs/>
          <w:spacing w:val="10"/>
          <w:kern w:val="0"/>
          <w:sz w:val="28"/>
          <w:szCs w:val="28"/>
          <w:highlight w:val="none"/>
          <w:lang w:val="en-US" w:eastAsia="zh-CN" w:bidi="ar-SA"/>
        </w:rPr>
        <w:t>附件三：乙方营业执照</w:t>
      </w:r>
    </w:p>
    <w:p w14:paraId="7065024B">
      <w:pPr>
        <w:pStyle w:val="49"/>
        <w:spacing w:line="360" w:lineRule="auto"/>
        <w:jc w:val="both"/>
        <w:rPr>
          <w:rFonts w:hint="default" w:ascii="仿宋_GB2312" w:hAnsi="仿宋_GB2312" w:eastAsia="仿宋_GB2312" w:cs="仿宋_GB2312"/>
          <w:bCs/>
          <w:spacing w:val="10"/>
          <w:kern w:val="0"/>
          <w:sz w:val="28"/>
          <w:szCs w:val="28"/>
          <w:highlight w:val="none"/>
          <w:lang w:val="en-US" w:eastAsia="zh-CN" w:bidi="ar-SA"/>
        </w:rPr>
      </w:pPr>
      <w:r>
        <w:rPr>
          <w:rFonts w:hint="eastAsia" w:ascii="仿宋_GB2312" w:hAnsi="仿宋_GB2312" w:eastAsia="仿宋_GB2312" w:cs="仿宋_GB2312"/>
          <w:bCs/>
          <w:spacing w:val="10"/>
          <w:kern w:val="0"/>
          <w:sz w:val="28"/>
          <w:szCs w:val="28"/>
          <w:highlight w:val="none"/>
          <w:lang w:val="en-US" w:eastAsia="zh-CN" w:bidi="ar-SA"/>
        </w:rPr>
        <w:t>附件四：乙方公司资质</w:t>
      </w:r>
    </w:p>
    <w:p w14:paraId="703F3ED5">
      <w:pPr>
        <w:pStyle w:val="49"/>
        <w:spacing w:line="360" w:lineRule="auto"/>
        <w:jc w:val="both"/>
        <w:rPr>
          <w:rFonts w:hint="eastAsia" w:ascii="仿宋_GB2312" w:hAnsi="仿宋_GB2312" w:eastAsia="仿宋_GB2312" w:cs="仿宋_GB2312"/>
          <w:bCs/>
          <w:spacing w:val="10"/>
          <w:kern w:val="0"/>
          <w:sz w:val="28"/>
          <w:szCs w:val="28"/>
          <w:highlight w:val="none"/>
          <w:lang w:val="en-US" w:eastAsia="zh-CN" w:bidi="ar-SA"/>
        </w:rPr>
      </w:pPr>
      <w:r>
        <w:rPr>
          <w:rFonts w:hint="eastAsia" w:ascii="仿宋_GB2312" w:hAnsi="仿宋_GB2312" w:eastAsia="仿宋_GB2312" w:cs="仿宋_GB2312"/>
          <w:bCs/>
          <w:spacing w:val="10"/>
          <w:kern w:val="0"/>
          <w:sz w:val="28"/>
          <w:szCs w:val="28"/>
          <w:highlight w:val="none"/>
          <w:lang w:val="en-US" w:eastAsia="zh-CN" w:bidi="ar-SA"/>
        </w:rPr>
        <w:t>附件五：《报价清单》</w:t>
      </w:r>
    </w:p>
    <w:p w14:paraId="51A37073">
      <w:pPr>
        <w:pStyle w:val="49"/>
        <w:spacing w:line="360" w:lineRule="auto"/>
        <w:jc w:val="both"/>
        <w:rPr>
          <w:rFonts w:hint="eastAsia" w:ascii="仿宋_GB2312" w:hAnsi="仿宋_GB2312" w:eastAsia="仿宋_GB2312" w:cs="仿宋_GB2312"/>
          <w:bCs/>
          <w:spacing w:val="10"/>
          <w:kern w:val="0"/>
          <w:sz w:val="28"/>
          <w:szCs w:val="28"/>
          <w:highlight w:val="none"/>
          <w:lang w:val="en-US" w:eastAsia="zh-CN" w:bidi="ar-SA"/>
        </w:rPr>
      </w:pPr>
    </w:p>
    <w:bookmarkEnd w:id="0"/>
    <w:p w14:paraId="49050FF4">
      <w:pPr>
        <w:pStyle w:val="6"/>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甲方： 广州市广报产业园         乙方：</w:t>
      </w:r>
    </w:p>
    <w:p w14:paraId="37074CEC">
      <w:pPr>
        <w:pStyle w:val="6"/>
        <w:ind w:firstLine="1120" w:firstLineChars="400"/>
        <w:rPr>
          <w:rFonts w:hint="default"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 xml:space="preserve">投资有限公司                    </w:t>
      </w:r>
    </w:p>
    <w:p w14:paraId="308597F5">
      <w:pPr>
        <w:pStyle w:val="6"/>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法定代表人/授权委托人：         法定代表人/授权委托人：</w:t>
      </w:r>
    </w:p>
    <w:p w14:paraId="1E9BE88A">
      <w:pPr>
        <w:pStyle w:val="6"/>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 xml:space="preserve">  </w:t>
      </w:r>
    </w:p>
    <w:p w14:paraId="5E302553">
      <w:pPr>
        <w:pStyle w:val="6"/>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日期：                          日期：</w:t>
      </w:r>
    </w:p>
    <w:p w14:paraId="2DD116B4">
      <w:pPr>
        <w:pStyle w:val="49"/>
        <w:rPr>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04AF4720">
      <w:pPr>
        <w:pStyle w:val="49"/>
        <w:spacing w:line="360" w:lineRule="auto"/>
        <w:jc w:val="center"/>
        <w:rPr>
          <w:rFonts w:hint="default" w:ascii="仿宋_GB2312" w:hAnsi="仿宋_GB2312" w:eastAsia="仿宋_GB2312" w:cs="仿宋_GB2312"/>
          <w:b/>
          <w:bCs w:val="0"/>
          <w:spacing w:val="10"/>
          <w:kern w:val="0"/>
          <w:sz w:val="28"/>
          <w:szCs w:val="28"/>
          <w:lang w:val="en-US" w:eastAsia="zh-CN" w:bidi="ar-SA"/>
        </w:rPr>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_GB2312" w:hAnsi="仿宋_GB2312" w:eastAsia="仿宋_GB2312" w:cs="仿宋_GB2312"/>
          <w:b/>
          <w:bCs w:val="0"/>
          <w:spacing w:val="10"/>
          <w:kern w:val="0"/>
          <w:sz w:val="28"/>
          <w:szCs w:val="28"/>
          <w:lang w:val="en-US" w:eastAsia="zh-CN" w:bidi="ar-SA"/>
        </w:rPr>
        <w:t>附件一：零配件报价表</w:t>
      </w:r>
    </w:p>
    <w:p w14:paraId="72D77A5E">
      <w:pPr>
        <w:numPr>
          <w:ilvl w:val="0"/>
          <w:numId w:val="0"/>
        </w:numPr>
        <w:jc w:val="center"/>
        <w:rPr>
          <w:rFonts w:hint="eastAsia"/>
          <w:b/>
          <w:bCs/>
          <w:sz w:val="28"/>
          <w:szCs w:val="28"/>
          <w:lang w:val="en-US" w:eastAsia="zh-CN"/>
        </w:rPr>
      </w:pPr>
      <w:r>
        <w:rPr>
          <w:rFonts w:hint="eastAsia"/>
          <w:b/>
          <w:bCs/>
          <w:sz w:val="28"/>
          <w:szCs w:val="28"/>
          <w:lang w:val="en-US" w:eastAsia="zh-CN"/>
        </w:rPr>
        <w:t>附件二：消防系统维护保养评分表</w:t>
      </w:r>
    </w:p>
    <w:tbl>
      <w:tblPr>
        <w:tblStyle w:val="40"/>
        <w:tblW w:w="9962" w:type="dxa"/>
        <w:tblInd w:w="0" w:type="dxa"/>
        <w:tblLayout w:type="autofit"/>
        <w:tblCellMar>
          <w:top w:w="0" w:type="dxa"/>
          <w:left w:w="108" w:type="dxa"/>
          <w:bottom w:w="0" w:type="dxa"/>
          <w:right w:w="108" w:type="dxa"/>
        </w:tblCellMar>
      </w:tblPr>
      <w:tblGrid>
        <w:gridCol w:w="1324"/>
        <w:gridCol w:w="4123"/>
        <w:gridCol w:w="1535"/>
        <w:gridCol w:w="1327"/>
        <w:gridCol w:w="756"/>
        <w:gridCol w:w="897"/>
      </w:tblGrid>
      <w:tr w14:paraId="54264DA1">
        <w:tblPrEx>
          <w:tblCellMar>
            <w:top w:w="0" w:type="dxa"/>
            <w:left w:w="108" w:type="dxa"/>
            <w:bottom w:w="0" w:type="dxa"/>
            <w:right w:w="108" w:type="dxa"/>
          </w:tblCellMar>
        </w:tblPrEx>
        <w:trPr>
          <w:trHeight w:val="0" w:hRule="atLeast"/>
          <w:tblHeader/>
        </w:trPr>
        <w:tc>
          <w:tcPr>
            <w:tcW w:w="13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B9FB50">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kern w:val="0"/>
                <w:sz w:val="24"/>
                <w:szCs w:val="22"/>
                <w:lang w:val="en-US" w:eastAsia="zh-CN" w:bidi="ar-SA"/>
              </w:rPr>
            </w:pPr>
            <w:r>
              <w:rPr>
                <w:rFonts w:hint="eastAsia" w:ascii="宋体" w:hAnsi="宋体" w:cs="宋体"/>
                <w:b/>
                <w:bCs/>
                <w:kern w:val="0"/>
                <w:sz w:val="24"/>
              </w:rPr>
              <w:t>项目</w:t>
            </w:r>
          </w:p>
        </w:tc>
        <w:tc>
          <w:tcPr>
            <w:tcW w:w="4123" w:type="dxa"/>
            <w:tcBorders>
              <w:top w:val="single" w:color="auto" w:sz="4" w:space="0"/>
              <w:left w:val="nil"/>
              <w:bottom w:val="single" w:color="auto" w:sz="4" w:space="0"/>
              <w:right w:val="single" w:color="auto" w:sz="4" w:space="0"/>
            </w:tcBorders>
            <w:shd w:val="clear" w:color="auto" w:fill="auto"/>
            <w:noWrap/>
            <w:vAlign w:val="center"/>
          </w:tcPr>
          <w:p w14:paraId="7265A85B">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kern w:val="0"/>
                <w:sz w:val="24"/>
                <w:szCs w:val="22"/>
                <w:lang w:val="en-US" w:eastAsia="zh-CN" w:bidi="ar-SA"/>
              </w:rPr>
            </w:pPr>
            <w:r>
              <w:rPr>
                <w:rFonts w:hint="eastAsia" w:ascii="宋体" w:hAnsi="宋体" w:cs="宋体"/>
                <w:b/>
                <w:bCs/>
                <w:kern w:val="0"/>
                <w:sz w:val="24"/>
              </w:rPr>
              <w:t>内容</w:t>
            </w:r>
          </w:p>
        </w:tc>
        <w:tc>
          <w:tcPr>
            <w:tcW w:w="1535" w:type="dxa"/>
            <w:tcBorders>
              <w:top w:val="single" w:color="auto" w:sz="4" w:space="0"/>
              <w:left w:val="nil"/>
              <w:bottom w:val="single" w:color="auto" w:sz="4" w:space="0"/>
              <w:right w:val="single" w:color="auto" w:sz="4" w:space="0"/>
            </w:tcBorders>
            <w:shd w:val="clear" w:color="auto" w:fill="auto"/>
            <w:noWrap/>
            <w:vAlign w:val="center"/>
          </w:tcPr>
          <w:p w14:paraId="090EAF34">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kern w:val="0"/>
                <w:sz w:val="24"/>
                <w:szCs w:val="22"/>
                <w:lang w:val="en-US" w:eastAsia="zh-CN" w:bidi="ar-SA"/>
              </w:rPr>
            </w:pPr>
            <w:r>
              <w:rPr>
                <w:rFonts w:hint="eastAsia" w:ascii="宋体" w:hAnsi="宋体" w:cs="宋体"/>
                <w:b/>
                <w:bCs/>
                <w:kern w:val="0"/>
                <w:sz w:val="24"/>
              </w:rPr>
              <w:t>扣分方式</w:t>
            </w:r>
          </w:p>
        </w:tc>
        <w:tc>
          <w:tcPr>
            <w:tcW w:w="1327" w:type="dxa"/>
            <w:tcBorders>
              <w:top w:val="single" w:color="auto" w:sz="4" w:space="0"/>
              <w:left w:val="nil"/>
              <w:bottom w:val="single" w:color="auto" w:sz="4" w:space="0"/>
              <w:right w:val="single" w:color="auto" w:sz="4" w:space="0"/>
            </w:tcBorders>
            <w:shd w:val="clear" w:color="auto" w:fill="auto"/>
            <w:noWrap/>
            <w:vAlign w:val="center"/>
          </w:tcPr>
          <w:p w14:paraId="2FF43BA2">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kern w:val="0"/>
                <w:sz w:val="24"/>
                <w:szCs w:val="22"/>
                <w:lang w:val="en-US" w:eastAsia="zh-CN" w:bidi="ar-SA"/>
              </w:rPr>
            </w:pPr>
            <w:r>
              <w:rPr>
                <w:rFonts w:hint="eastAsia" w:ascii="宋体" w:hAnsi="宋体" w:cs="宋体"/>
                <w:b/>
                <w:bCs/>
                <w:kern w:val="0"/>
                <w:sz w:val="24"/>
              </w:rPr>
              <w:t>扣分依据</w:t>
            </w:r>
          </w:p>
        </w:tc>
        <w:tc>
          <w:tcPr>
            <w:tcW w:w="756" w:type="dxa"/>
            <w:tcBorders>
              <w:top w:val="single" w:color="auto" w:sz="4" w:space="0"/>
              <w:left w:val="nil"/>
              <w:bottom w:val="single" w:color="auto" w:sz="4" w:space="0"/>
              <w:right w:val="single" w:color="auto" w:sz="4" w:space="0"/>
            </w:tcBorders>
            <w:shd w:val="clear" w:color="auto" w:fill="auto"/>
            <w:noWrap w:val="0"/>
            <w:vAlign w:val="center"/>
          </w:tcPr>
          <w:p w14:paraId="567CEB6E">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kern w:val="0"/>
                <w:sz w:val="24"/>
                <w:szCs w:val="22"/>
                <w:lang w:val="en-US" w:eastAsia="zh-CN" w:bidi="ar-SA"/>
              </w:rPr>
            </w:pPr>
            <w:r>
              <w:rPr>
                <w:rFonts w:hint="eastAsia" w:ascii="宋体" w:hAnsi="宋体" w:cs="宋体"/>
                <w:b/>
                <w:bCs/>
                <w:kern w:val="0"/>
                <w:sz w:val="24"/>
              </w:rPr>
              <w:t>扣分值</w:t>
            </w:r>
          </w:p>
        </w:tc>
        <w:tc>
          <w:tcPr>
            <w:tcW w:w="897" w:type="dxa"/>
            <w:tcBorders>
              <w:top w:val="single" w:color="auto" w:sz="4" w:space="0"/>
              <w:left w:val="nil"/>
              <w:bottom w:val="single" w:color="auto" w:sz="4" w:space="0"/>
              <w:right w:val="single" w:color="auto" w:sz="4" w:space="0"/>
            </w:tcBorders>
            <w:shd w:val="clear" w:color="auto" w:fill="auto"/>
            <w:noWrap w:val="0"/>
            <w:vAlign w:val="center"/>
          </w:tcPr>
          <w:p w14:paraId="73C08C62">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kern w:val="0"/>
                <w:sz w:val="24"/>
                <w:szCs w:val="22"/>
                <w:lang w:val="en-US" w:eastAsia="zh-CN" w:bidi="ar-SA"/>
              </w:rPr>
            </w:pPr>
            <w:r>
              <w:rPr>
                <w:rFonts w:hint="eastAsia" w:ascii="宋体" w:hAnsi="宋体" w:cs="宋体"/>
                <w:b/>
                <w:bCs/>
                <w:kern w:val="0"/>
                <w:sz w:val="24"/>
              </w:rPr>
              <w:t>备注</w:t>
            </w:r>
          </w:p>
        </w:tc>
      </w:tr>
      <w:tr w14:paraId="0C12609E">
        <w:tblPrEx>
          <w:tblCellMar>
            <w:top w:w="0" w:type="dxa"/>
            <w:left w:w="108" w:type="dxa"/>
            <w:bottom w:w="0" w:type="dxa"/>
            <w:right w:w="108" w:type="dxa"/>
          </w:tblCellMar>
        </w:tblPrEx>
        <w:trPr>
          <w:trHeight w:val="0" w:hRule="atLeast"/>
        </w:trPr>
        <w:tc>
          <w:tcPr>
            <w:tcW w:w="897" w:type="dxa"/>
            <w:gridSpan w:val="6"/>
            <w:tcBorders>
              <w:top w:val="nil"/>
              <w:left w:val="single" w:color="auto" w:sz="4" w:space="0"/>
              <w:bottom w:val="single" w:color="auto" w:sz="4" w:space="0"/>
              <w:right w:val="single" w:color="auto" w:sz="4" w:space="0"/>
            </w:tcBorders>
            <w:noWrap w:val="0"/>
            <w:vAlign w:val="center"/>
          </w:tcPr>
          <w:p w14:paraId="332B701F">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宋体" w:hAnsi="宋体" w:eastAsia="宋体" w:cs="宋体"/>
                <w:kern w:val="0"/>
                <w:sz w:val="24"/>
                <w:szCs w:val="22"/>
                <w:lang w:val="en-US" w:eastAsia="zh-CN"/>
              </w:rPr>
            </w:pPr>
            <w:r>
              <w:rPr>
                <w:rFonts w:hint="eastAsia" w:ascii="宋体" w:hAnsi="宋体" w:cs="宋体"/>
                <w:kern w:val="0"/>
                <w:sz w:val="24"/>
                <w:szCs w:val="22"/>
                <w:lang w:val="en-US" w:eastAsia="zh-CN"/>
              </w:rPr>
              <w:t>一、维保状态</w:t>
            </w:r>
          </w:p>
        </w:tc>
      </w:tr>
      <w:tr w14:paraId="0CA10376">
        <w:tblPrEx>
          <w:tblCellMar>
            <w:top w:w="0" w:type="dxa"/>
            <w:left w:w="108" w:type="dxa"/>
            <w:bottom w:w="0" w:type="dxa"/>
            <w:right w:w="108" w:type="dxa"/>
          </w:tblCellMar>
        </w:tblPrEx>
        <w:trPr>
          <w:trHeight w:val="0" w:hRule="atLeast"/>
        </w:trPr>
        <w:tc>
          <w:tcPr>
            <w:tcW w:w="1324" w:type="dxa"/>
            <w:tcBorders>
              <w:top w:val="nil"/>
              <w:left w:val="single" w:color="auto" w:sz="4" w:space="0"/>
              <w:bottom w:val="single" w:color="auto" w:sz="4" w:space="0"/>
              <w:right w:val="single" w:color="auto" w:sz="4" w:space="0"/>
            </w:tcBorders>
            <w:shd w:val="clear" w:color="auto" w:fill="auto"/>
            <w:noWrap w:val="0"/>
            <w:vAlign w:val="center"/>
          </w:tcPr>
          <w:p w14:paraId="1F768A20">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lang w:val="en-US" w:eastAsia="zh-CN"/>
              </w:rPr>
            </w:pPr>
            <w:r>
              <w:rPr>
                <w:rFonts w:hint="eastAsia" w:ascii="宋体" w:hAnsi="宋体" w:eastAsia="宋体" w:cs="宋体"/>
                <w:kern w:val="0"/>
                <w:sz w:val="21"/>
                <w:lang w:val="en-US" w:eastAsia="zh-CN"/>
              </w:rPr>
              <w:t>1</w:t>
            </w:r>
          </w:p>
        </w:tc>
        <w:tc>
          <w:tcPr>
            <w:tcW w:w="4123" w:type="dxa"/>
            <w:tcBorders>
              <w:top w:val="nil"/>
              <w:left w:val="nil"/>
              <w:bottom w:val="single" w:color="auto" w:sz="4" w:space="0"/>
              <w:right w:val="single" w:color="auto" w:sz="4" w:space="0"/>
            </w:tcBorders>
            <w:shd w:val="clear" w:color="auto" w:fill="auto"/>
            <w:noWrap w:val="0"/>
            <w:vAlign w:val="center"/>
          </w:tcPr>
          <w:p w14:paraId="4650D8C6">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维护人员未按频次内容完成任务</w:t>
            </w:r>
          </w:p>
        </w:tc>
        <w:tc>
          <w:tcPr>
            <w:tcW w:w="1535" w:type="dxa"/>
            <w:tcBorders>
              <w:top w:val="nil"/>
              <w:left w:val="nil"/>
              <w:bottom w:val="single" w:color="auto" w:sz="4" w:space="0"/>
              <w:right w:val="single" w:color="auto" w:sz="4" w:space="0"/>
            </w:tcBorders>
            <w:shd w:val="clear" w:color="auto" w:fill="auto"/>
            <w:noWrap w:val="0"/>
            <w:vAlign w:val="center"/>
          </w:tcPr>
          <w:p w14:paraId="4A6EBA47">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szCs w:val="22"/>
              </w:rPr>
            </w:pPr>
            <w:r>
              <w:rPr>
                <w:rFonts w:hint="eastAsia" w:ascii="宋体" w:hAnsi="宋体" w:eastAsia="宋体" w:cs="宋体"/>
                <w:kern w:val="0"/>
                <w:sz w:val="21"/>
                <w:szCs w:val="22"/>
              </w:rPr>
              <w:t>每次扣2分</w:t>
            </w:r>
          </w:p>
        </w:tc>
        <w:tc>
          <w:tcPr>
            <w:tcW w:w="1327" w:type="dxa"/>
            <w:tcBorders>
              <w:top w:val="nil"/>
              <w:left w:val="nil"/>
              <w:bottom w:val="single" w:color="auto" w:sz="4" w:space="0"/>
              <w:right w:val="single" w:color="auto" w:sz="4" w:space="0"/>
            </w:tcBorders>
            <w:noWrap w:val="0"/>
            <w:vAlign w:val="center"/>
          </w:tcPr>
          <w:p w14:paraId="112EABE6">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c>
          <w:tcPr>
            <w:tcW w:w="756" w:type="dxa"/>
            <w:tcBorders>
              <w:top w:val="nil"/>
              <w:left w:val="nil"/>
              <w:bottom w:val="single" w:color="auto" w:sz="4" w:space="0"/>
              <w:right w:val="single" w:color="auto" w:sz="4" w:space="0"/>
            </w:tcBorders>
            <w:noWrap w:val="0"/>
            <w:vAlign w:val="center"/>
          </w:tcPr>
          <w:p w14:paraId="7EF062AE">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c>
          <w:tcPr>
            <w:tcW w:w="897" w:type="dxa"/>
            <w:tcBorders>
              <w:top w:val="nil"/>
              <w:left w:val="nil"/>
              <w:bottom w:val="single" w:color="auto" w:sz="4" w:space="0"/>
              <w:right w:val="single" w:color="auto" w:sz="4" w:space="0"/>
            </w:tcBorders>
            <w:noWrap w:val="0"/>
            <w:vAlign w:val="center"/>
          </w:tcPr>
          <w:p w14:paraId="2441FD6B">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r>
      <w:tr w14:paraId="49AA2B61">
        <w:tblPrEx>
          <w:tblCellMar>
            <w:top w:w="0" w:type="dxa"/>
            <w:left w:w="108" w:type="dxa"/>
            <w:bottom w:w="0" w:type="dxa"/>
            <w:right w:w="108" w:type="dxa"/>
          </w:tblCellMar>
        </w:tblPrEx>
        <w:trPr>
          <w:trHeight w:val="0" w:hRule="atLeast"/>
        </w:trPr>
        <w:tc>
          <w:tcPr>
            <w:tcW w:w="1324" w:type="dxa"/>
            <w:tcBorders>
              <w:top w:val="nil"/>
              <w:left w:val="single" w:color="auto" w:sz="4" w:space="0"/>
              <w:bottom w:val="single" w:color="auto" w:sz="4" w:space="0"/>
              <w:right w:val="single" w:color="auto" w:sz="4" w:space="0"/>
            </w:tcBorders>
            <w:shd w:val="clear" w:color="auto" w:fill="auto"/>
            <w:noWrap w:val="0"/>
            <w:vAlign w:val="center"/>
          </w:tcPr>
          <w:p w14:paraId="0D76F304">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lang w:val="en-US" w:eastAsia="zh-CN"/>
              </w:rPr>
            </w:pPr>
            <w:r>
              <w:rPr>
                <w:rFonts w:hint="eastAsia" w:ascii="宋体" w:hAnsi="宋体" w:eastAsia="宋体" w:cs="宋体"/>
                <w:kern w:val="0"/>
                <w:sz w:val="21"/>
                <w:lang w:val="en-US" w:eastAsia="zh-CN"/>
              </w:rPr>
              <w:t>2</w:t>
            </w:r>
          </w:p>
        </w:tc>
        <w:tc>
          <w:tcPr>
            <w:tcW w:w="4123" w:type="dxa"/>
            <w:tcBorders>
              <w:top w:val="nil"/>
              <w:left w:val="nil"/>
              <w:bottom w:val="single" w:color="auto" w:sz="4" w:space="0"/>
              <w:right w:val="single" w:color="auto" w:sz="4" w:space="0"/>
            </w:tcBorders>
            <w:shd w:val="clear" w:color="auto" w:fill="auto"/>
            <w:noWrap w:val="0"/>
            <w:vAlign w:val="center"/>
          </w:tcPr>
          <w:p w14:paraId="48520CAF">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维护人员工作缺乏积极主动性或未按合同约定时效完成既定工作任务</w:t>
            </w:r>
          </w:p>
        </w:tc>
        <w:tc>
          <w:tcPr>
            <w:tcW w:w="1535" w:type="dxa"/>
            <w:tcBorders>
              <w:top w:val="nil"/>
              <w:left w:val="nil"/>
              <w:bottom w:val="single" w:color="auto" w:sz="4" w:space="0"/>
              <w:right w:val="single" w:color="auto" w:sz="4" w:space="0"/>
            </w:tcBorders>
            <w:shd w:val="clear" w:color="auto" w:fill="auto"/>
            <w:noWrap w:val="0"/>
            <w:vAlign w:val="center"/>
          </w:tcPr>
          <w:p w14:paraId="2F711CAC">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szCs w:val="22"/>
              </w:rPr>
            </w:pPr>
            <w:r>
              <w:rPr>
                <w:rFonts w:hint="eastAsia" w:ascii="宋体" w:hAnsi="宋体" w:eastAsia="宋体" w:cs="宋体"/>
                <w:kern w:val="0"/>
                <w:sz w:val="21"/>
                <w:szCs w:val="22"/>
              </w:rPr>
              <w:t>每次扣</w:t>
            </w:r>
            <w:r>
              <w:rPr>
                <w:rFonts w:hint="eastAsia" w:ascii="宋体" w:hAnsi="宋体" w:eastAsia="宋体" w:cs="宋体"/>
                <w:kern w:val="0"/>
                <w:sz w:val="21"/>
                <w:szCs w:val="22"/>
                <w:lang w:val="en-US" w:eastAsia="zh-CN"/>
              </w:rPr>
              <w:t>1</w:t>
            </w:r>
            <w:r>
              <w:rPr>
                <w:rFonts w:hint="eastAsia" w:ascii="宋体" w:hAnsi="宋体" w:eastAsia="宋体" w:cs="宋体"/>
                <w:kern w:val="0"/>
                <w:sz w:val="21"/>
                <w:szCs w:val="22"/>
              </w:rPr>
              <w:t>分</w:t>
            </w:r>
          </w:p>
        </w:tc>
        <w:tc>
          <w:tcPr>
            <w:tcW w:w="1327" w:type="dxa"/>
            <w:tcBorders>
              <w:top w:val="nil"/>
              <w:left w:val="nil"/>
              <w:bottom w:val="single" w:color="auto" w:sz="4" w:space="0"/>
              <w:right w:val="single" w:color="auto" w:sz="4" w:space="0"/>
            </w:tcBorders>
            <w:noWrap w:val="0"/>
            <w:vAlign w:val="center"/>
          </w:tcPr>
          <w:p w14:paraId="3165B6BE">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c>
          <w:tcPr>
            <w:tcW w:w="756" w:type="dxa"/>
            <w:tcBorders>
              <w:top w:val="nil"/>
              <w:left w:val="nil"/>
              <w:bottom w:val="single" w:color="auto" w:sz="4" w:space="0"/>
              <w:right w:val="single" w:color="auto" w:sz="4" w:space="0"/>
            </w:tcBorders>
            <w:noWrap w:val="0"/>
            <w:vAlign w:val="center"/>
          </w:tcPr>
          <w:p w14:paraId="016D63BE">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c>
          <w:tcPr>
            <w:tcW w:w="897" w:type="dxa"/>
            <w:tcBorders>
              <w:top w:val="nil"/>
              <w:left w:val="nil"/>
              <w:bottom w:val="single" w:color="auto" w:sz="4" w:space="0"/>
              <w:right w:val="single" w:color="auto" w:sz="4" w:space="0"/>
            </w:tcBorders>
            <w:noWrap w:val="0"/>
            <w:vAlign w:val="center"/>
          </w:tcPr>
          <w:p w14:paraId="3133341D">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r>
      <w:tr w14:paraId="295E1A90">
        <w:tblPrEx>
          <w:tblCellMar>
            <w:top w:w="0" w:type="dxa"/>
            <w:left w:w="108" w:type="dxa"/>
            <w:bottom w:w="0" w:type="dxa"/>
            <w:right w:w="108" w:type="dxa"/>
          </w:tblCellMar>
        </w:tblPrEx>
        <w:trPr>
          <w:trHeight w:val="0" w:hRule="atLeast"/>
        </w:trPr>
        <w:tc>
          <w:tcPr>
            <w:tcW w:w="1324" w:type="dxa"/>
            <w:tcBorders>
              <w:top w:val="nil"/>
              <w:left w:val="single" w:color="auto" w:sz="4" w:space="0"/>
              <w:bottom w:val="single" w:color="auto" w:sz="4" w:space="0"/>
              <w:right w:val="single" w:color="auto" w:sz="4" w:space="0"/>
            </w:tcBorders>
            <w:shd w:val="clear" w:color="auto" w:fill="auto"/>
            <w:noWrap w:val="0"/>
            <w:vAlign w:val="center"/>
          </w:tcPr>
          <w:p w14:paraId="71B0D806">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lang w:val="en-US" w:eastAsia="zh-CN"/>
              </w:rPr>
            </w:pPr>
            <w:r>
              <w:rPr>
                <w:rFonts w:hint="eastAsia" w:ascii="宋体" w:hAnsi="宋体" w:eastAsia="宋体" w:cs="宋体"/>
                <w:kern w:val="0"/>
                <w:sz w:val="21"/>
                <w:lang w:val="en-US" w:eastAsia="zh-CN"/>
              </w:rPr>
              <w:t>3</w:t>
            </w:r>
          </w:p>
        </w:tc>
        <w:tc>
          <w:tcPr>
            <w:tcW w:w="412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211266">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维保工作人员必须按计划排定时间，准时进场作业，不得迟到、早退</w:t>
            </w:r>
          </w:p>
        </w:tc>
        <w:tc>
          <w:tcPr>
            <w:tcW w:w="1535" w:type="dxa"/>
            <w:tcBorders>
              <w:top w:val="nil"/>
              <w:left w:val="nil"/>
              <w:bottom w:val="single" w:color="auto" w:sz="4" w:space="0"/>
              <w:right w:val="single" w:color="auto" w:sz="4" w:space="0"/>
            </w:tcBorders>
            <w:shd w:val="clear" w:color="auto" w:fill="auto"/>
            <w:noWrap w:val="0"/>
            <w:vAlign w:val="center"/>
          </w:tcPr>
          <w:p w14:paraId="0EAF6E98">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szCs w:val="22"/>
              </w:rPr>
            </w:pPr>
            <w:r>
              <w:rPr>
                <w:rFonts w:hint="eastAsia" w:ascii="宋体" w:hAnsi="宋体" w:eastAsia="宋体" w:cs="宋体"/>
                <w:kern w:val="0"/>
                <w:sz w:val="21"/>
                <w:szCs w:val="22"/>
              </w:rPr>
              <w:t>每次扣</w:t>
            </w:r>
            <w:r>
              <w:rPr>
                <w:rFonts w:hint="eastAsia" w:ascii="宋体" w:hAnsi="宋体" w:eastAsia="宋体" w:cs="宋体"/>
                <w:kern w:val="0"/>
                <w:sz w:val="21"/>
                <w:szCs w:val="22"/>
                <w:lang w:val="en-US" w:eastAsia="zh-CN"/>
              </w:rPr>
              <w:t>1</w:t>
            </w:r>
            <w:r>
              <w:rPr>
                <w:rFonts w:hint="eastAsia" w:ascii="宋体" w:hAnsi="宋体" w:eastAsia="宋体" w:cs="宋体"/>
                <w:kern w:val="0"/>
                <w:sz w:val="21"/>
                <w:szCs w:val="22"/>
              </w:rPr>
              <w:t>分</w:t>
            </w:r>
          </w:p>
        </w:tc>
        <w:tc>
          <w:tcPr>
            <w:tcW w:w="1327" w:type="dxa"/>
            <w:tcBorders>
              <w:top w:val="nil"/>
              <w:left w:val="nil"/>
              <w:bottom w:val="single" w:color="auto" w:sz="4" w:space="0"/>
              <w:right w:val="single" w:color="auto" w:sz="4" w:space="0"/>
            </w:tcBorders>
            <w:noWrap w:val="0"/>
            <w:vAlign w:val="center"/>
          </w:tcPr>
          <w:p w14:paraId="1B0615DA">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c>
          <w:tcPr>
            <w:tcW w:w="756" w:type="dxa"/>
            <w:tcBorders>
              <w:top w:val="nil"/>
              <w:left w:val="nil"/>
              <w:bottom w:val="single" w:color="auto" w:sz="4" w:space="0"/>
              <w:right w:val="single" w:color="auto" w:sz="4" w:space="0"/>
            </w:tcBorders>
            <w:noWrap w:val="0"/>
            <w:vAlign w:val="center"/>
          </w:tcPr>
          <w:p w14:paraId="7E2A2FBA">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c>
          <w:tcPr>
            <w:tcW w:w="897" w:type="dxa"/>
            <w:tcBorders>
              <w:top w:val="nil"/>
              <w:left w:val="nil"/>
              <w:bottom w:val="single" w:color="auto" w:sz="4" w:space="0"/>
              <w:right w:val="single" w:color="auto" w:sz="4" w:space="0"/>
            </w:tcBorders>
            <w:noWrap w:val="0"/>
            <w:vAlign w:val="center"/>
          </w:tcPr>
          <w:p w14:paraId="339B5F65">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r>
      <w:tr w14:paraId="0E2D0454">
        <w:tblPrEx>
          <w:tblCellMar>
            <w:top w:w="0" w:type="dxa"/>
            <w:left w:w="108" w:type="dxa"/>
            <w:bottom w:w="0" w:type="dxa"/>
            <w:right w:w="108" w:type="dxa"/>
          </w:tblCellMar>
        </w:tblPrEx>
        <w:trPr>
          <w:trHeight w:val="0" w:hRule="atLeast"/>
        </w:trPr>
        <w:tc>
          <w:tcPr>
            <w:tcW w:w="1324" w:type="dxa"/>
            <w:tcBorders>
              <w:top w:val="nil"/>
              <w:left w:val="single" w:color="auto" w:sz="4" w:space="0"/>
              <w:bottom w:val="single" w:color="auto" w:sz="4" w:space="0"/>
              <w:right w:val="single" w:color="auto" w:sz="4" w:space="0"/>
            </w:tcBorders>
            <w:shd w:val="clear" w:color="auto" w:fill="auto"/>
            <w:noWrap w:val="0"/>
            <w:vAlign w:val="center"/>
          </w:tcPr>
          <w:p w14:paraId="5E1C7857">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lang w:val="en-US" w:eastAsia="zh-CN"/>
              </w:rPr>
            </w:pPr>
            <w:r>
              <w:rPr>
                <w:rFonts w:hint="eastAsia" w:ascii="宋体" w:hAnsi="宋体" w:eastAsia="宋体" w:cs="宋体"/>
                <w:kern w:val="0"/>
                <w:sz w:val="21"/>
                <w:lang w:val="en-US" w:eastAsia="zh-CN"/>
              </w:rPr>
              <w:t>4</w:t>
            </w:r>
          </w:p>
        </w:tc>
        <w:tc>
          <w:tcPr>
            <w:tcW w:w="412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7542AF">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接到报修后，维保人员必须在接到通知后1小时内到达现场（紧急故障30分钟内到达）</w:t>
            </w:r>
          </w:p>
        </w:tc>
        <w:tc>
          <w:tcPr>
            <w:tcW w:w="1535" w:type="dxa"/>
            <w:tcBorders>
              <w:top w:val="nil"/>
              <w:left w:val="nil"/>
              <w:bottom w:val="single" w:color="auto" w:sz="4" w:space="0"/>
              <w:right w:val="single" w:color="auto" w:sz="4" w:space="0"/>
            </w:tcBorders>
            <w:shd w:val="clear" w:color="auto" w:fill="auto"/>
            <w:noWrap w:val="0"/>
            <w:vAlign w:val="center"/>
          </w:tcPr>
          <w:p w14:paraId="7FD6AD85">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szCs w:val="22"/>
              </w:rPr>
            </w:pPr>
            <w:r>
              <w:rPr>
                <w:rFonts w:hint="eastAsia" w:ascii="宋体" w:hAnsi="宋体" w:eastAsia="宋体" w:cs="宋体"/>
                <w:kern w:val="0"/>
                <w:sz w:val="21"/>
                <w:szCs w:val="22"/>
              </w:rPr>
              <w:t>每次扣2分</w:t>
            </w:r>
          </w:p>
        </w:tc>
        <w:tc>
          <w:tcPr>
            <w:tcW w:w="1327" w:type="dxa"/>
            <w:tcBorders>
              <w:top w:val="nil"/>
              <w:left w:val="nil"/>
              <w:bottom w:val="single" w:color="auto" w:sz="4" w:space="0"/>
              <w:right w:val="single" w:color="auto" w:sz="4" w:space="0"/>
            </w:tcBorders>
            <w:noWrap w:val="0"/>
            <w:vAlign w:val="center"/>
          </w:tcPr>
          <w:p w14:paraId="2E719E95">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c>
          <w:tcPr>
            <w:tcW w:w="756" w:type="dxa"/>
            <w:tcBorders>
              <w:top w:val="nil"/>
              <w:left w:val="nil"/>
              <w:bottom w:val="single" w:color="auto" w:sz="4" w:space="0"/>
              <w:right w:val="single" w:color="auto" w:sz="4" w:space="0"/>
            </w:tcBorders>
            <w:noWrap w:val="0"/>
            <w:vAlign w:val="center"/>
          </w:tcPr>
          <w:p w14:paraId="39B16A2C">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c>
          <w:tcPr>
            <w:tcW w:w="897" w:type="dxa"/>
            <w:tcBorders>
              <w:top w:val="nil"/>
              <w:left w:val="nil"/>
              <w:bottom w:val="single" w:color="auto" w:sz="4" w:space="0"/>
              <w:right w:val="single" w:color="auto" w:sz="4" w:space="0"/>
            </w:tcBorders>
            <w:noWrap w:val="0"/>
            <w:vAlign w:val="center"/>
          </w:tcPr>
          <w:p w14:paraId="292A8A3F">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r>
      <w:tr w14:paraId="2A972ED7">
        <w:tblPrEx>
          <w:tblCellMar>
            <w:top w:w="0" w:type="dxa"/>
            <w:left w:w="108" w:type="dxa"/>
            <w:bottom w:w="0" w:type="dxa"/>
            <w:right w:w="108" w:type="dxa"/>
          </w:tblCellMar>
        </w:tblPrEx>
        <w:trPr>
          <w:trHeight w:val="0" w:hRule="atLeast"/>
        </w:trPr>
        <w:tc>
          <w:tcPr>
            <w:tcW w:w="1324" w:type="dxa"/>
            <w:tcBorders>
              <w:top w:val="nil"/>
              <w:left w:val="single" w:color="auto" w:sz="4" w:space="0"/>
              <w:bottom w:val="single" w:color="auto" w:sz="4" w:space="0"/>
              <w:right w:val="single" w:color="auto" w:sz="4" w:space="0"/>
            </w:tcBorders>
            <w:shd w:val="clear" w:color="auto" w:fill="auto"/>
            <w:noWrap w:val="0"/>
            <w:vAlign w:val="center"/>
          </w:tcPr>
          <w:p w14:paraId="1CC19A80">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lang w:val="en-US" w:eastAsia="zh-CN"/>
              </w:rPr>
            </w:pPr>
            <w:r>
              <w:rPr>
                <w:rFonts w:hint="eastAsia" w:ascii="宋体" w:hAnsi="宋体" w:eastAsia="宋体" w:cs="宋体"/>
                <w:kern w:val="0"/>
                <w:sz w:val="21"/>
                <w:lang w:val="en-US" w:eastAsia="zh-CN"/>
              </w:rPr>
              <w:t>5</w:t>
            </w:r>
          </w:p>
        </w:tc>
        <w:tc>
          <w:tcPr>
            <w:tcW w:w="412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BAACA3">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零配件更换维修及时率：100元（含100元）以下的零配件12小时内完成，100以上24小时内完成（涉及报价及另行议价的维修不列入该范围）。</w:t>
            </w:r>
          </w:p>
        </w:tc>
        <w:tc>
          <w:tcPr>
            <w:tcW w:w="1535" w:type="dxa"/>
            <w:tcBorders>
              <w:top w:val="nil"/>
              <w:left w:val="nil"/>
              <w:bottom w:val="single" w:color="auto" w:sz="4" w:space="0"/>
              <w:right w:val="single" w:color="auto" w:sz="4" w:space="0"/>
            </w:tcBorders>
            <w:shd w:val="clear" w:color="auto" w:fill="auto"/>
            <w:noWrap w:val="0"/>
            <w:vAlign w:val="center"/>
          </w:tcPr>
          <w:p w14:paraId="101A09DE">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szCs w:val="22"/>
              </w:rPr>
            </w:pPr>
            <w:r>
              <w:rPr>
                <w:rFonts w:hint="eastAsia" w:ascii="宋体" w:hAnsi="宋体" w:eastAsia="宋体" w:cs="宋体"/>
                <w:kern w:val="0"/>
                <w:sz w:val="21"/>
                <w:szCs w:val="22"/>
              </w:rPr>
              <w:t>每次扣2分</w:t>
            </w:r>
          </w:p>
        </w:tc>
        <w:tc>
          <w:tcPr>
            <w:tcW w:w="1327" w:type="dxa"/>
            <w:tcBorders>
              <w:top w:val="nil"/>
              <w:left w:val="nil"/>
              <w:bottom w:val="single" w:color="auto" w:sz="4" w:space="0"/>
              <w:right w:val="single" w:color="auto" w:sz="4" w:space="0"/>
            </w:tcBorders>
            <w:noWrap w:val="0"/>
            <w:vAlign w:val="center"/>
          </w:tcPr>
          <w:p w14:paraId="6EB4294B">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c>
          <w:tcPr>
            <w:tcW w:w="756" w:type="dxa"/>
            <w:tcBorders>
              <w:top w:val="nil"/>
              <w:left w:val="nil"/>
              <w:bottom w:val="single" w:color="auto" w:sz="4" w:space="0"/>
              <w:right w:val="single" w:color="auto" w:sz="4" w:space="0"/>
            </w:tcBorders>
            <w:noWrap w:val="0"/>
            <w:vAlign w:val="center"/>
          </w:tcPr>
          <w:p w14:paraId="7A6C2667">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c>
          <w:tcPr>
            <w:tcW w:w="897" w:type="dxa"/>
            <w:tcBorders>
              <w:top w:val="nil"/>
              <w:left w:val="nil"/>
              <w:bottom w:val="single" w:color="auto" w:sz="4" w:space="0"/>
              <w:right w:val="single" w:color="auto" w:sz="4" w:space="0"/>
            </w:tcBorders>
            <w:noWrap w:val="0"/>
            <w:vAlign w:val="center"/>
          </w:tcPr>
          <w:p w14:paraId="6D705087">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r>
      <w:tr w14:paraId="567E0BC5">
        <w:tblPrEx>
          <w:tblCellMar>
            <w:top w:w="0" w:type="dxa"/>
            <w:left w:w="108" w:type="dxa"/>
            <w:bottom w:w="0" w:type="dxa"/>
            <w:right w:w="108" w:type="dxa"/>
          </w:tblCellMar>
        </w:tblPrEx>
        <w:trPr>
          <w:trHeight w:val="0" w:hRule="atLeast"/>
        </w:trPr>
        <w:tc>
          <w:tcPr>
            <w:tcW w:w="897" w:type="dxa"/>
            <w:gridSpan w:val="6"/>
            <w:tcBorders>
              <w:top w:val="nil"/>
              <w:left w:val="single" w:color="auto" w:sz="4" w:space="0"/>
              <w:bottom w:val="single" w:color="auto" w:sz="4" w:space="0"/>
              <w:right w:val="single" w:color="auto" w:sz="4" w:space="0"/>
            </w:tcBorders>
            <w:shd w:val="clear" w:color="auto" w:fill="auto"/>
            <w:noWrap w:val="0"/>
            <w:vAlign w:val="center"/>
          </w:tcPr>
          <w:p w14:paraId="22017F27">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二、安全管理</w:t>
            </w:r>
          </w:p>
        </w:tc>
      </w:tr>
      <w:tr w14:paraId="09E58BFC">
        <w:tblPrEx>
          <w:tblCellMar>
            <w:top w:w="0" w:type="dxa"/>
            <w:left w:w="108" w:type="dxa"/>
            <w:bottom w:w="0" w:type="dxa"/>
            <w:right w:w="108" w:type="dxa"/>
          </w:tblCellMar>
        </w:tblPrEx>
        <w:trPr>
          <w:trHeight w:val="0" w:hRule="atLeast"/>
        </w:trPr>
        <w:tc>
          <w:tcPr>
            <w:tcW w:w="1324" w:type="dxa"/>
            <w:tcBorders>
              <w:top w:val="nil"/>
              <w:left w:val="single" w:color="auto" w:sz="4" w:space="0"/>
              <w:bottom w:val="single" w:color="auto" w:sz="4" w:space="0"/>
              <w:right w:val="single" w:color="auto" w:sz="4" w:space="0"/>
            </w:tcBorders>
            <w:shd w:val="clear" w:color="auto" w:fill="auto"/>
            <w:noWrap w:val="0"/>
            <w:vAlign w:val="center"/>
          </w:tcPr>
          <w:p w14:paraId="45161C7B">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lang w:val="en-US" w:eastAsia="zh-CN"/>
              </w:rPr>
            </w:pPr>
            <w:r>
              <w:rPr>
                <w:rFonts w:hint="eastAsia" w:ascii="宋体" w:hAnsi="宋体" w:eastAsia="宋体" w:cs="宋体"/>
                <w:kern w:val="0"/>
                <w:sz w:val="21"/>
                <w:lang w:val="en-US" w:eastAsia="zh-CN"/>
              </w:rPr>
              <w:t>1</w:t>
            </w:r>
          </w:p>
        </w:tc>
        <w:tc>
          <w:tcPr>
            <w:tcW w:w="412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4286B9">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维保及维修等安全作业时违规操作，高处作业无穿防滑鞋、系安全带。</w:t>
            </w:r>
          </w:p>
        </w:tc>
        <w:tc>
          <w:tcPr>
            <w:tcW w:w="1535" w:type="dxa"/>
            <w:tcBorders>
              <w:top w:val="nil"/>
              <w:left w:val="nil"/>
              <w:bottom w:val="single" w:color="auto" w:sz="4" w:space="0"/>
              <w:right w:val="single" w:color="auto" w:sz="4" w:space="0"/>
            </w:tcBorders>
            <w:shd w:val="clear" w:color="auto" w:fill="auto"/>
            <w:noWrap w:val="0"/>
            <w:vAlign w:val="center"/>
          </w:tcPr>
          <w:p w14:paraId="22D42638">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szCs w:val="22"/>
              </w:rPr>
            </w:pPr>
            <w:r>
              <w:rPr>
                <w:rFonts w:hint="eastAsia" w:ascii="宋体" w:hAnsi="宋体" w:eastAsia="宋体" w:cs="宋体"/>
                <w:kern w:val="0"/>
                <w:sz w:val="21"/>
                <w:szCs w:val="22"/>
              </w:rPr>
              <w:t>每次扣2分</w:t>
            </w:r>
          </w:p>
        </w:tc>
        <w:tc>
          <w:tcPr>
            <w:tcW w:w="1327" w:type="dxa"/>
            <w:tcBorders>
              <w:top w:val="nil"/>
              <w:left w:val="nil"/>
              <w:bottom w:val="single" w:color="auto" w:sz="4" w:space="0"/>
              <w:right w:val="single" w:color="auto" w:sz="4" w:space="0"/>
            </w:tcBorders>
            <w:noWrap w:val="0"/>
            <w:vAlign w:val="center"/>
          </w:tcPr>
          <w:p w14:paraId="2019A757">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c>
          <w:tcPr>
            <w:tcW w:w="756" w:type="dxa"/>
            <w:tcBorders>
              <w:top w:val="nil"/>
              <w:left w:val="nil"/>
              <w:bottom w:val="single" w:color="auto" w:sz="4" w:space="0"/>
              <w:right w:val="single" w:color="auto" w:sz="4" w:space="0"/>
            </w:tcBorders>
            <w:noWrap w:val="0"/>
            <w:vAlign w:val="center"/>
          </w:tcPr>
          <w:p w14:paraId="6F282408">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c>
          <w:tcPr>
            <w:tcW w:w="897" w:type="dxa"/>
            <w:tcBorders>
              <w:top w:val="nil"/>
              <w:left w:val="nil"/>
              <w:bottom w:val="single" w:color="auto" w:sz="4" w:space="0"/>
              <w:right w:val="single" w:color="auto" w:sz="4" w:space="0"/>
            </w:tcBorders>
            <w:noWrap w:val="0"/>
            <w:vAlign w:val="center"/>
          </w:tcPr>
          <w:p w14:paraId="3DD08932">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r>
      <w:tr w14:paraId="1028E7FC">
        <w:tblPrEx>
          <w:tblCellMar>
            <w:top w:w="0" w:type="dxa"/>
            <w:left w:w="108" w:type="dxa"/>
            <w:bottom w:w="0" w:type="dxa"/>
            <w:right w:w="108" w:type="dxa"/>
          </w:tblCellMar>
        </w:tblPrEx>
        <w:trPr>
          <w:trHeight w:val="0" w:hRule="atLeast"/>
        </w:trPr>
        <w:tc>
          <w:tcPr>
            <w:tcW w:w="1324" w:type="dxa"/>
            <w:tcBorders>
              <w:top w:val="nil"/>
              <w:left w:val="single" w:color="auto" w:sz="4" w:space="0"/>
              <w:bottom w:val="single" w:color="auto" w:sz="4" w:space="0"/>
              <w:right w:val="single" w:color="auto" w:sz="4" w:space="0"/>
            </w:tcBorders>
            <w:shd w:val="clear" w:color="auto" w:fill="auto"/>
            <w:noWrap w:val="0"/>
            <w:vAlign w:val="center"/>
          </w:tcPr>
          <w:p w14:paraId="46B544AD">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szCs w:val="22"/>
                <w:lang w:val="en-US" w:eastAsia="zh-CN" w:bidi="ar-SA"/>
              </w:rPr>
            </w:pPr>
            <w:r>
              <w:rPr>
                <w:rFonts w:hint="eastAsia" w:ascii="宋体" w:hAnsi="宋体" w:eastAsia="宋体" w:cs="宋体"/>
                <w:kern w:val="0"/>
                <w:sz w:val="21"/>
              </w:rPr>
              <w:t>2</w:t>
            </w:r>
          </w:p>
        </w:tc>
        <w:tc>
          <w:tcPr>
            <w:tcW w:w="4123" w:type="dxa"/>
            <w:tcBorders>
              <w:top w:val="single" w:color="auto" w:sz="4" w:space="0"/>
              <w:left w:val="nil"/>
              <w:bottom w:val="single" w:color="auto" w:sz="4" w:space="0"/>
              <w:right w:val="single" w:color="auto" w:sz="4" w:space="0"/>
            </w:tcBorders>
            <w:shd w:val="clear" w:color="auto" w:fill="auto"/>
            <w:noWrap w:val="0"/>
            <w:vAlign w:val="center"/>
          </w:tcPr>
          <w:p w14:paraId="179AAA01">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由于维保、维修人员安全意识不强，未能严格按规范进行安全操作，导致重大安全事故的。</w:t>
            </w:r>
          </w:p>
        </w:tc>
        <w:tc>
          <w:tcPr>
            <w:tcW w:w="1535" w:type="dxa"/>
            <w:tcBorders>
              <w:top w:val="nil"/>
              <w:left w:val="nil"/>
              <w:bottom w:val="single" w:color="auto" w:sz="4" w:space="0"/>
              <w:right w:val="single" w:color="auto" w:sz="4" w:space="0"/>
            </w:tcBorders>
            <w:shd w:val="clear" w:color="auto" w:fill="auto"/>
            <w:noWrap w:val="0"/>
            <w:vAlign w:val="center"/>
          </w:tcPr>
          <w:p w14:paraId="5CB7F582">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szCs w:val="22"/>
                <w:lang w:val="en-US" w:eastAsia="zh-CN" w:bidi="ar-SA"/>
              </w:rPr>
            </w:pPr>
            <w:r>
              <w:rPr>
                <w:rFonts w:hint="eastAsia" w:ascii="宋体" w:hAnsi="宋体" w:eastAsia="宋体" w:cs="宋体"/>
                <w:kern w:val="0"/>
                <w:sz w:val="21"/>
                <w:szCs w:val="22"/>
              </w:rPr>
              <w:t>每次扣</w:t>
            </w:r>
            <w:r>
              <w:rPr>
                <w:rFonts w:hint="eastAsia" w:ascii="宋体" w:hAnsi="宋体" w:eastAsia="宋体" w:cs="宋体"/>
                <w:kern w:val="0"/>
                <w:sz w:val="21"/>
                <w:szCs w:val="22"/>
                <w:lang w:val="en-US" w:eastAsia="zh-CN"/>
              </w:rPr>
              <w:t>100</w:t>
            </w:r>
            <w:r>
              <w:rPr>
                <w:rFonts w:hint="eastAsia" w:ascii="宋体" w:hAnsi="宋体" w:eastAsia="宋体" w:cs="宋体"/>
                <w:kern w:val="0"/>
                <w:sz w:val="21"/>
                <w:szCs w:val="22"/>
              </w:rPr>
              <w:t>分</w:t>
            </w:r>
          </w:p>
        </w:tc>
        <w:tc>
          <w:tcPr>
            <w:tcW w:w="1327" w:type="dxa"/>
            <w:tcBorders>
              <w:top w:val="nil"/>
              <w:left w:val="nil"/>
              <w:bottom w:val="single" w:color="auto" w:sz="4" w:space="0"/>
              <w:right w:val="single" w:color="auto" w:sz="4" w:space="0"/>
            </w:tcBorders>
            <w:noWrap w:val="0"/>
            <w:vAlign w:val="center"/>
          </w:tcPr>
          <w:p w14:paraId="383336E8">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c>
          <w:tcPr>
            <w:tcW w:w="756" w:type="dxa"/>
            <w:tcBorders>
              <w:top w:val="nil"/>
              <w:left w:val="nil"/>
              <w:bottom w:val="single" w:color="auto" w:sz="4" w:space="0"/>
              <w:right w:val="single" w:color="auto" w:sz="4" w:space="0"/>
            </w:tcBorders>
            <w:noWrap w:val="0"/>
            <w:vAlign w:val="center"/>
          </w:tcPr>
          <w:p w14:paraId="731A00B9">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c>
          <w:tcPr>
            <w:tcW w:w="897" w:type="dxa"/>
            <w:tcBorders>
              <w:top w:val="nil"/>
              <w:left w:val="nil"/>
              <w:bottom w:val="single" w:color="auto" w:sz="4" w:space="0"/>
              <w:right w:val="single" w:color="auto" w:sz="4" w:space="0"/>
            </w:tcBorders>
            <w:noWrap w:val="0"/>
            <w:vAlign w:val="center"/>
          </w:tcPr>
          <w:p w14:paraId="13D256D2">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r>
      <w:tr w14:paraId="1D0E63A1">
        <w:tblPrEx>
          <w:tblCellMar>
            <w:top w:w="0" w:type="dxa"/>
            <w:left w:w="108" w:type="dxa"/>
            <w:bottom w:w="0" w:type="dxa"/>
            <w:right w:w="108" w:type="dxa"/>
          </w:tblCellMar>
        </w:tblPrEx>
        <w:trPr>
          <w:trHeight w:val="0" w:hRule="atLeast"/>
        </w:trPr>
        <w:tc>
          <w:tcPr>
            <w:tcW w:w="897" w:type="dxa"/>
            <w:gridSpan w:val="6"/>
            <w:tcBorders>
              <w:top w:val="nil"/>
              <w:left w:val="single" w:color="auto" w:sz="4" w:space="0"/>
              <w:bottom w:val="single" w:color="auto" w:sz="4" w:space="0"/>
              <w:right w:val="single" w:color="auto" w:sz="4" w:space="0"/>
            </w:tcBorders>
            <w:shd w:val="clear" w:color="auto" w:fill="auto"/>
            <w:noWrap w:val="0"/>
            <w:vAlign w:val="center"/>
          </w:tcPr>
          <w:p w14:paraId="5A5F6C97">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三、巡检管理</w:t>
            </w:r>
          </w:p>
        </w:tc>
      </w:tr>
      <w:tr w14:paraId="594F491F">
        <w:tblPrEx>
          <w:tblCellMar>
            <w:top w:w="0" w:type="dxa"/>
            <w:left w:w="108" w:type="dxa"/>
            <w:bottom w:w="0" w:type="dxa"/>
            <w:right w:w="108" w:type="dxa"/>
          </w:tblCellMar>
        </w:tblPrEx>
        <w:trPr>
          <w:trHeight w:val="0" w:hRule="atLeast"/>
        </w:trPr>
        <w:tc>
          <w:tcPr>
            <w:tcW w:w="1324" w:type="dxa"/>
            <w:tcBorders>
              <w:top w:val="nil"/>
              <w:left w:val="single" w:color="auto" w:sz="4" w:space="0"/>
              <w:bottom w:val="single" w:color="auto" w:sz="4" w:space="0"/>
              <w:right w:val="single" w:color="auto" w:sz="4" w:space="0"/>
            </w:tcBorders>
            <w:noWrap w:val="0"/>
            <w:vAlign w:val="center"/>
          </w:tcPr>
          <w:p w14:paraId="10DE3553">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lang w:eastAsia="zh-CN"/>
              </w:rPr>
            </w:pPr>
            <w:r>
              <w:rPr>
                <w:rFonts w:hint="eastAsia" w:ascii="宋体" w:hAnsi="宋体" w:eastAsia="宋体" w:cs="宋体"/>
                <w:kern w:val="0"/>
                <w:sz w:val="21"/>
                <w:lang w:val="en-US" w:eastAsia="zh-CN"/>
              </w:rPr>
              <w:t>1</w:t>
            </w:r>
          </w:p>
        </w:tc>
        <w:tc>
          <w:tcPr>
            <w:tcW w:w="4123" w:type="dxa"/>
            <w:tcBorders>
              <w:top w:val="nil"/>
              <w:left w:val="nil"/>
              <w:bottom w:val="single" w:color="auto" w:sz="4" w:space="0"/>
              <w:right w:val="single" w:color="auto" w:sz="4" w:space="0"/>
            </w:tcBorders>
            <w:noWrap w:val="0"/>
            <w:vAlign w:val="center"/>
          </w:tcPr>
          <w:p w14:paraId="7AC9764F">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巡检未按维保（保养）计划进行。</w:t>
            </w:r>
          </w:p>
        </w:tc>
        <w:tc>
          <w:tcPr>
            <w:tcW w:w="1535" w:type="dxa"/>
            <w:tcBorders>
              <w:top w:val="nil"/>
              <w:left w:val="nil"/>
              <w:bottom w:val="single" w:color="auto" w:sz="4" w:space="0"/>
              <w:right w:val="single" w:color="auto" w:sz="4" w:space="0"/>
            </w:tcBorders>
            <w:noWrap w:val="0"/>
            <w:vAlign w:val="center"/>
          </w:tcPr>
          <w:p w14:paraId="6ECC766F">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szCs w:val="22"/>
              </w:rPr>
            </w:pPr>
            <w:r>
              <w:rPr>
                <w:rFonts w:hint="eastAsia" w:ascii="宋体" w:hAnsi="宋体" w:eastAsia="宋体" w:cs="宋体"/>
                <w:kern w:val="0"/>
                <w:sz w:val="21"/>
                <w:szCs w:val="22"/>
              </w:rPr>
              <w:t>每次扣2分</w:t>
            </w:r>
          </w:p>
        </w:tc>
        <w:tc>
          <w:tcPr>
            <w:tcW w:w="1327" w:type="dxa"/>
            <w:tcBorders>
              <w:top w:val="nil"/>
              <w:left w:val="nil"/>
              <w:bottom w:val="single" w:color="auto" w:sz="4" w:space="0"/>
              <w:right w:val="single" w:color="auto" w:sz="4" w:space="0"/>
            </w:tcBorders>
            <w:noWrap w:val="0"/>
            <w:vAlign w:val="center"/>
          </w:tcPr>
          <w:p w14:paraId="185A8B59">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c>
          <w:tcPr>
            <w:tcW w:w="756" w:type="dxa"/>
            <w:tcBorders>
              <w:top w:val="nil"/>
              <w:left w:val="nil"/>
              <w:bottom w:val="single" w:color="auto" w:sz="4" w:space="0"/>
              <w:right w:val="single" w:color="auto" w:sz="4" w:space="0"/>
            </w:tcBorders>
            <w:noWrap w:val="0"/>
            <w:vAlign w:val="center"/>
          </w:tcPr>
          <w:p w14:paraId="656B2A0C">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c>
          <w:tcPr>
            <w:tcW w:w="897" w:type="dxa"/>
            <w:tcBorders>
              <w:top w:val="nil"/>
              <w:left w:val="nil"/>
              <w:bottom w:val="single" w:color="auto" w:sz="4" w:space="0"/>
              <w:right w:val="single" w:color="auto" w:sz="4" w:space="0"/>
            </w:tcBorders>
            <w:noWrap w:val="0"/>
            <w:vAlign w:val="center"/>
          </w:tcPr>
          <w:p w14:paraId="207F1C4A">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r>
      <w:tr w14:paraId="7845774A">
        <w:tblPrEx>
          <w:tblCellMar>
            <w:top w:w="0" w:type="dxa"/>
            <w:left w:w="108" w:type="dxa"/>
            <w:bottom w:w="0" w:type="dxa"/>
            <w:right w:w="108" w:type="dxa"/>
          </w:tblCellMar>
        </w:tblPrEx>
        <w:trPr>
          <w:trHeight w:val="0" w:hRule="atLeast"/>
        </w:trPr>
        <w:tc>
          <w:tcPr>
            <w:tcW w:w="1324" w:type="dxa"/>
            <w:tcBorders>
              <w:top w:val="nil"/>
              <w:left w:val="single" w:color="auto" w:sz="4" w:space="0"/>
              <w:bottom w:val="single" w:color="auto" w:sz="4" w:space="0"/>
              <w:right w:val="single" w:color="auto" w:sz="4" w:space="0"/>
            </w:tcBorders>
            <w:noWrap w:val="0"/>
            <w:vAlign w:val="center"/>
          </w:tcPr>
          <w:p w14:paraId="116A3C50">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lang w:eastAsia="zh-CN"/>
              </w:rPr>
            </w:pPr>
            <w:r>
              <w:rPr>
                <w:rFonts w:hint="eastAsia" w:ascii="宋体" w:hAnsi="宋体" w:eastAsia="宋体" w:cs="宋体"/>
                <w:kern w:val="0"/>
                <w:sz w:val="21"/>
                <w:lang w:val="en-US" w:eastAsia="zh-CN"/>
              </w:rPr>
              <w:t>2</w:t>
            </w:r>
          </w:p>
        </w:tc>
        <w:tc>
          <w:tcPr>
            <w:tcW w:w="4123" w:type="dxa"/>
            <w:tcBorders>
              <w:top w:val="nil"/>
              <w:left w:val="nil"/>
              <w:bottom w:val="single" w:color="auto" w:sz="4" w:space="0"/>
              <w:right w:val="single" w:color="auto" w:sz="4" w:space="0"/>
            </w:tcBorders>
            <w:noWrap w:val="0"/>
            <w:vAlign w:val="center"/>
          </w:tcPr>
          <w:p w14:paraId="2C871781">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每月28日前未能提交当月消防维保总结及下月消防维保计划给甲方确认。</w:t>
            </w:r>
          </w:p>
        </w:tc>
        <w:tc>
          <w:tcPr>
            <w:tcW w:w="1535" w:type="dxa"/>
            <w:tcBorders>
              <w:top w:val="nil"/>
              <w:left w:val="nil"/>
              <w:bottom w:val="single" w:color="auto" w:sz="4" w:space="0"/>
              <w:right w:val="single" w:color="auto" w:sz="4" w:space="0"/>
            </w:tcBorders>
            <w:noWrap w:val="0"/>
            <w:vAlign w:val="center"/>
          </w:tcPr>
          <w:p w14:paraId="5A5B065F">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r>
              <w:rPr>
                <w:rFonts w:hint="eastAsia" w:ascii="宋体" w:hAnsi="宋体" w:eastAsia="宋体" w:cs="宋体"/>
                <w:kern w:val="0"/>
                <w:sz w:val="21"/>
              </w:rPr>
              <w:t>每次扣2分</w:t>
            </w:r>
          </w:p>
        </w:tc>
        <w:tc>
          <w:tcPr>
            <w:tcW w:w="1327" w:type="dxa"/>
            <w:tcBorders>
              <w:top w:val="nil"/>
              <w:left w:val="nil"/>
              <w:bottom w:val="single" w:color="auto" w:sz="4" w:space="0"/>
              <w:right w:val="single" w:color="auto" w:sz="4" w:space="0"/>
            </w:tcBorders>
            <w:noWrap w:val="0"/>
            <w:vAlign w:val="center"/>
          </w:tcPr>
          <w:p w14:paraId="178AA663">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c>
          <w:tcPr>
            <w:tcW w:w="756" w:type="dxa"/>
            <w:tcBorders>
              <w:top w:val="nil"/>
              <w:left w:val="nil"/>
              <w:bottom w:val="single" w:color="auto" w:sz="4" w:space="0"/>
              <w:right w:val="single" w:color="auto" w:sz="4" w:space="0"/>
            </w:tcBorders>
            <w:noWrap w:val="0"/>
            <w:vAlign w:val="center"/>
          </w:tcPr>
          <w:p w14:paraId="2DC250AB">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c>
          <w:tcPr>
            <w:tcW w:w="897" w:type="dxa"/>
            <w:tcBorders>
              <w:top w:val="nil"/>
              <w:left w:val="nil"/>
              <w:bottom w:val="single" w:color="auto" w:sz="4" w:space="0"/>
              <w:right w:val="single" w:color="auto" w:sz="4" w:space="0"/>
            </w:tcBorders>
            <w:noWrap w:val="0"/>
            <w:vAlign w:val="center"/>
          </w:tcPr>
          <w:p w14:paraId="3525D8B3">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r>
      <w:tr w14:paraId="135558D9">
        <w:tblPrEx>
          <w:tblCellMar>
            <w:top w:w="0" w:type="dxa"/>
            <w:left w:w="108" w:type="dxa"/>
            <w:bottom w:w="0" w:type="dxa"/>
            <w:right w:w="108" w:type="dxa"/>
          </w:tblCellMar>
        </w:tblPrEx>
        <w:trPr>
          <w:trHeight w:val="0" w:hRule="atLeast"/>
        </w:trPr>
        <w:tc>
          <w:tcPr>
            <w:tcW w:w="1324" w:type="dxa"/>
            <w:tcBorders>
              <w:top w:val="nil"/>
              <w:left w:val="single" w:color="auto" w:sz="4" w:space="0"/>
              <w:bottom w:val="single" w:color="auto" w:sz="4" w:space="0"/>
              <w:right w:val="single" w:color="auto" w:sz="4" w:space="0"/>
            </w:tcBorders>
            <w:noWrap w:val="0"/>
            <w:vAlign w:val="center"/>
          </w:tcPr>
          <w:p w14:paraId="20A0AAED">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lang w:eastAsia="zh-CN"/>
              </w:rPr>
            </w:pPr>
            <w:r>
              <w:rPr>
                <w:rFonts w:hint="eastAsia" w:ascii="宋体" w:hAnsi="宋体" w:eastAsia="宋体" w:cs="宋体"/>
                <w:kern w:val="0"/>
                <w:sz w:val="21"/>
                <w:lang w:val="en-US" w:eastAsia="zh-CN"/>
              </w:rPr>
              <w:t>3</w:t>
            </w:r>
          </w:p>
        </w:tc>
        <w:tc>
          <w:tcPr>
            <w:tcW w:w="4123" w:type="dxa"/>
            <w:tcBorders>
              <w:top w:val="nil"/>
              <w:left w:val="nil"/>
              <w:bottom w:val="single" w:color="auto" w:sz="4" w:space="0"/>
              <w:right w:val="single" w:color="auto" w:sz="4" w:space="0"/>
            </w:tcBorders>
            <w:noWrap w:val="0"/>
            <w:vAlign w:val="center"/>
          </w:tcPr>
          <w:p w14:paraId="45411A96">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出现巡检维保内容与保养计划不符、漏项漏检、未按照保养细则操作等维保情况。</w:t>
            </w:r>
          </w:p>
        </w:tc>
        <w:tc>
          <w:tcPr>
            <w:tcW w:w="1535" w:type="dxa"/>
            <w:tcBorders>
              <w:top w:val="nil"/>
              <w:left w:val="nil"/>
              <w:bottom w:val="single" w:color="auto" w:sz="4" w:space="0"/>
              <w:right w:val="single" w:color="auto" w:sz="4" w:space="0"/>
            </w:tcBorders>
            <w:noWrap w:val="0"/>
            <w:vAlign w:val="center"/>
          </w:tcPr>
          <w:p w14:paraId="3D8ADF89">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r>
              <w:rPr>
                <w:rFonts w:hint="eastAsia" w:ascii="宋体" w:hAnsi="宋体" w:eastAsia="宋体" w:cs="宋体"/>
                <w:kern w:val="0"/>
                <w:sz w:val="21"/>
              </w:rPr>
              <w:t>每次扣2分</w:t>
            </w:r>
          </w:p>
        </w:tc>
        <w:tc>
          <w:tcPr>
            <w:tcW w:w="1327" w:type="dxa"/>
            <w:tcBorders>
              <w:top w:val="nil"/>
              <w:left w:val="nil"/>
              <w:bottom w:val="single" w:color="auto" w:sz="4" w:space="0"/>
              <w:right w:val="single" w:color="auto" w:sz="4" w:space="0"/>
            </w:tcBorders>
            <w:noWrap w:val="0"/>
            <w:vAlign w:val="center"/>
          </w:tcPr>
          <w:p w14:paraId="008233FB">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c>
          <w:tcPr>
            <w:tcW w:w="756" w:type="dxa"/>
            <w:tcBorders>
              <w:top w:val="nil"/>
              <w:left w:val="nil"/>
              <w:bottom w:val="single" w:color="auto" w:sz="4" w:space="0"/>
              <w:right w:val="single" w:color="auto" w:sz="4" w:space="0"/>
            </w:tcBorders>
            <w:noWrap w:val="0"/>
            <w:vAlign w:val="center"/>
          </w:tcPr>
          <w:p w14:paraId="7FBD2343">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c>
          <w:tcPr>
            <w:tcW w:w="897" w:type="dxa"/>
            <w:tcBorders>
              <w:top w:val="nil"/>
              <w:left w:val="nil"/>
              <w:bottom w:val="single" w:color="auto" w:sz="4" w:space="0"/>
              <w:right w:val="single" w:color="auto" w:sz="4" w:space="0"/>
            </w:tcBorders>
            <w:noWrap w:val="0"/>
            <w:vAlign w:val="center"/>
          </w:tcPr>
          <w:p w14:paraId="063A7452">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r>
      <w:tr w14:paraId="0E46E38D">
        <w:tblPrEx>
          <w:tblCellMar>
            <w:top w:w="0" w:type="dxa"/>
            <w:left w:w="108" w:type="dxa"/>
            <w:bottom w:w="0" w:type="dxa"/>
            <w:right w:w="108" w:type="dxa"/>
          </w:tblCellMar>
        </w:tblPrEx>
        <w:trPr>
          <w:trHeight w:val="0" w:hRule="atLeast"/>
        </w:trPr>
        <w:tc>
          <w:tcPr>
            <w:tcW w:w="1324" w:type="dxa"/>
            <w:tcBorders>
              <w:top w:val="single" w:color="auto" w:sz="4" w:space="0"/>
              <w:left w:val="single" w:color="auto" w:sz="4" w:space="0"/>
              <w:bottom w:val="single" w:color="auto" w:sz="4" w:space="0"/>
              <w:right w:val="single" w:color="auto" w:sz="4" w:space="0"/>
            </w:tcBorders>
            <w:noWrap w:val="0"/>
            <w:vAlign w:val="center"/>
          </w:tcPr>
          <w:p w14:paraId="59259EA2">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lang w:eastAsia="zh-CN"/>
              </w:rPr>
            </w:pPr>
            <w:r>
              <w:rPr>
                <w:rFonts w:hint="eastAsia" w:ascii="宋体" w:hAnsi="宋体" w:eastAsia="宋体" w:cs="宋体"/>
                <w:kern w:val="0"/>
                <w:sz w:val="21"/>
                <w:lang w:val="en-US" w:eastAsia="zh-CN"/>
              </w:rPr>
              <w:t>4</w:t>
            </w:r>
          </w:p>
        </w:tc>
        <w:tc>
          <w:tcPr>
            <w:tcW w:w="4123" w:type="dxa"/>
            <w:tcBorders>
              <w:top w:val="nil"/>
              <w:left w:val="nil"/>
              <w:bottom w:val="single" w:color="auto" w:sz="4" w:space="0"/>
              <w:right w:val="single" w:color="auto" w:sz="4" w:space="0"/>
            </w:tcBorders>
            <w:noWrap w:val="0"/>
            <w:vAlign w:val="center"/>
          </w:tcPr>
          <w:p w14:paraId="47504057">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未能按时提交检查相关报表。</w:t>
            </w:r>
          </w:p>
        </w:tc>
        <w:tc>
          <w:tcPr>
            <w:tcW w:w="1535" w:type="dxa"/>
            <w:tcBorders>
              <w:top w:val="nil"/>
              <w:left w:val="nil"/>
              <w:bottom w:val="single" w:color="auto" w:sz="4" w:space="0"/>
              <w:right w:val="single" w:color="auto" w:sz="4" w:space="0"/>
            </w:tcBorders>
            <w:noWrap w:val="0"/>
            <w:vAlign w:val="center"/>
          </w:tcPr>
          <w:p w14:paraId="5C1F2B79">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r>
              <w:rPr>
                <w:rFonts w:hint="eastAsia" w:ascii="宋体" w:hAnsi="宋体" w:eastAsia="宋体" w:cs="宋体"/>
                <w:kern w:val="0"/>
                <w:sz w:val="21"/>
              </w:rPr>
              <w:t>每次扣</w:t>
            </w:r>
            <w:r>
              <w:rPr>
                <w:rFonts w:hint="eastAsia" w:ascii="宋体" w:hAnsi="宋体" w:eastAsia="宋体" w:cs="宋体"/>
                <w:kern w:val="0"/>
                <w:sz w:val="21"/>
                <w:lang w:val="en-US" w:eastAsia="zh-CN"/>
              </w:rPr>
              <w:t>2</w:t>
            </w:r>
            <w:r>
              <w:rPr>
                <w:rFonts w:hint="eastAsia" w:ascii="宋体" w:hAnsi="宋体" w:eastAsia="宋体" w:cs="宋体"/>
                <w:kern w:val="0"/>
                <w:sz w:val="21"/>
              </w:rPr>
              <w:t>分</w:t>
            </w:r>
          </w:p>
        </w:tc>
        <w:tc>
          <w:tcPr>
            <w:tcW w:w="1327" w:type="dxa"/>
            <w:tcBorders>
              <w:top w:val="nil"/>
              <w:left w:val="nil"/>
              <w:bottom w:val="single" w:color="auto" w:sz="4" w:space="0"/>
              <w:right w:val="single" w:color="auto" w:sz="4" w:space="0"/>
            </w:tcBorders>
            <w:noWrap w:val="0"/>
            <w:vAlign w:val="center"/>
          </w:tcPr>
          <w:p w14:paraId="38E0C04B">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c>
          <w:tcPr>
            <w:tcW w:w="756" w:type="dxa"/>
            <w:tcBorders>
              <w:top w:val="nil"/>
              <w:left w:val="nil"/>
              <w:bottom w:val="single" w:color="auto" w:sz="4" w:space="0"/>
              <w:right w:val="single" w:color="auto" w:sz="4" w:space="0"/>
            </w:tcBorders>
            <w:noWrap w:val="0"/>
            <w:vAlign w:val="center"/>
          </w:tcPr>
          <w:p w14:paraId="0AB586CE">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c>
          <w:tcPr>
            <w:tcW w:w="897" w:type="dxa"/>
            <w:tcBorders>
              <w:top w:val="nil"/>
              <w:left w:val="nil"/>
              <w:bottom w:val="single" w:color="auto" w:sz="4" w:space="0"/>
              <w:right w:val="single" w:color="auto" w:sz="4" w:space="0"/>
            </w:tcBorders>
            <w:noWrap w:val="0"/>
            <w:vAlign w:val="center"/>
          </w:tcPr>
          <w:p w14:paraId="069CC64B">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r>
      <w:tr w14:paraId="28077BD1">
        <w:tblPrEx>
          <w:tblCellMar>
            <w:top w:w="0" w:type="dxa"/>
            <w:left w:w="108" w:type="dxa"/>
            <w:bottom w:w="0" w:type="dxa"/>
            <w:right w:w="108" w:type="dxa"/>
          </w:tblCellMar>
        </w:tblPrEx>
        <w:trPr>
          <w:trHeight w:val="0" w:hRule="atLeast"/>
        </w:trPr>
        <w:tc>
          <w:tcPr>
            <w:tcW w:w="1324" w:type="dxa"/>
            <w:tcBorders>
              <w:top w:val="single" w:color="auto" w:sz="4" w:space="0"/>
              <w:left w:val="single" w:color="auto" w:sz="4" w:space="0"/>
              <w:bottom w:val="single" w:color="auto" w:sz="4" w:space="0"/>
              <w:right w:val="single" w:color="auto" w:sz="4" w:space="0"/>
            </w:tcBorders>
            <w:noWrap w:val="0"/>
            <w:vAlign w:val="center"/>
          </w:tcPr>
          <w:p w14:paraId="63C6F3AC">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lang w:eastAsia="zh-CN"/>
              </w:rPr>
            </w:pPr>
            <w:r>
              <w:rPr>
                <w:rFonts w:hint="eastAsia" w:ascii="宋体" w:hAnsi="宋体" w:eastAsia="宋体" w:cs="宋体"/>
                <w:kern w:val="0"/>
                <w:sz w:val="21"/>
                <w:lang w:val="en-US" w:eastAsia="zh-CN"/>
              </w:rPr>
              <w:t>5</w:t>
            </w:r>
          </w:p>
        </w:tc>
        <w:tc>
          <w:tcPr>
            <w:tcW w:w="4123" w:type="dxa"/>
            <w:tcBorders>
              <w:top w:val="single" w:color="auto" w:sz="4" w:space="0"/>
              <w:left w:val="nil"/>
              <w:bottom w:val="single" w:color="auto" w:sz="4" w:space="0"/>
              <w:right w:val="single" w:color="auto" w:sz="4" w:space="0"/>
            </w:tcBorders>
            <w:noWrap w:val="0"/>
            <w:vAlign w:val="center"/>
          </w:tcPr>
          <w:p w14:paraId="26844F08">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报告未能真实反映巡检结果。</w:t>
            </w:r>
          </w:p>
        </w:tc>
        <w:tc>
          <w:tcPr>
            <w:tcW w:w="1535" w:type="dxa"/>
            <w:tcBorders>
              <w:top w:val="single" w:color="auto" w:sz="4" w:space="0"/>
              <w:left w:val="nil"/>
              <w:bottom w:val="single" w:color="auto" w:sz="4" w:space="0"/>
              <w:right w:val="single" w:color="auto" w:sz="4" w:space="0"/>
            </w:tcBorders>
            <w:noWrap w:val="0"/>
            <w:vAlign w:val="center"/>
          </w:tcPr>
          <w:p w14:paraId="22A88526">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r>
              <w:rPr>
                <w:rFonts w:hint="eastAsia" w:ascii="宋体" w:hAnsi="宋体" w:eastAsia="宋体" w:cs="宋体"/>
                <w:kern w:val="0"/>
                <w:sz w:val="21"/>
              </w:rPr>
              <w:t>每次扣2分</w:t>
            </w:r>
          </w:p>
        </w:tc>
        <w:tc>
          <w:tcPr>
            <w:tcW w:w="1327" w:type="dxa"/>
            <w:tcBorders>
              <w:top w:val="single" w:color="auto" w:sz="4" w:space="0"/>
              <w:left w:val="nil"/>
              <w:bottom w:val="single" w:color="auto" w:sz="4" w:space="0"/>
              <w:right w:val="single" w:color="auto" w:sz="4" w:space="0"/>
            </w:tcBorders>
            <w:noWrap w:val="0"/>
            <w:vAlign w:val="center"/>
          </w:tcPr>
          <w:p w14:paraId="2B35C89E">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c>
          <w:tcPr>
            <w:tcW w:w="756" w:type="dxa"/>
            <w:tcBorders>
              <w:top w:val="single" w:color="auto" w:sz="4" w:space="0"/>
              <w:left w:val="nil"/>
              <w:bottom w:val="single" w:color="auto" w:sz="4" w:space="0"/>
              <w:right w:val="single" w:color="auto" w:sz="4" w:space="0"/>
            </w:tcBorders>
            <w:noWrap w:val="0"/>
            <w:vAlign w:val="center"/>
          </w:tcPr>
          <w:p w14:paraId="3BB78DB3">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c>
          <w:tcPr>
            <w:tcW w:w="897" w:type="dxa"/>
            <w:tcBorders>
              <w:top w:val="single" w:color="auto" w:sz="4" w:space="0"/>
              <w:left w:val="nil"/>
              <w:bottom w:val="single" w:color="auto" w:sz="4" w:space="0"/>
              <w:right w:val="single" w:color="auto" w:sz="4" w:space="0"/>
            </w:tcBorders>
            <w:noWrap w:val="0"/>
            <w:vAlign w:val="center"/>
          </w:tcPr>
          <w:p w14:paraId="139D75D4">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r>
      <w:tr w14:paraId="6308BB44">
        <w:tblPrEx>
          <w:tblCellMar>
            <w:top w:w="0" w:type="dxa"/>
            <w:left w:w="108" w:type="dxa"/>
            <w:bottom w:w="0" w:type="dxa"/>
            <w:right w:w="108" w:type="dxa"/>
          </w:tblCellMar>
        </w:tblPrEx>
        <w:trPr>
          <w:trHeight w:val="0" w:hRule="atLeast"/>
        </w:trPr>
        <w:tc>
          <w:tcPr>
            <w:tcW w:w="897" w:type="dxa"/>
            <w:gridSpan w:val="6"/>
            <w:tcBorders>
              <w:top w:val="single" w:color="auto" w:sz="4" w:space="0"/>
              <w:left w:val="single" w:color="auto" w:sz="4" w:space="0"/>
              <w:bottom w:val="single" w:color="auto" w:sz="4" w:space="0"/>
              <w:right w:val="single" w:color="auto" w:sz="4" w:space="0"/>
            </w:tcBorders>
            <w:noWrap w:val="0"/>
            <w:vAlign w:val="center"/>
          </w:tcPr>
          <w:p w14:paraId="7C49F440">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四、技术支持</w:t>
            </w:r>
          </w:p>
        </w:tc>
      </w:tr>
      <w:tr w14:paraId="161E5BD9">
        <w:tblPrEx>
          <w:tblCellMar>
            <w:top w:w="0" w:type="dxa"/>
            <w:left w:w="108" w:type="dxa"/>
            <w:bottom w:w="0" w:type="dxa"/>
            <w:right w:w="108" w:type="dxa"/>
          </w:tblCellMar>
        </w:tblPrEx>
        <w:trPr>
          <w:trHeight w:val="0" w:hRule="atLeast"/>
        </w:trPr>
        <w:tc>
          <w:tcPr>
            <w:tcW w:w="1324" w:type="dxa"/>
            <w:tcBorders>
              <w:top w:val="single" w:color="auto" w:sz="4" w:space="0"/>
              <w:left w:val="single" w:color="auto" w:sz="4" w:space="0"/>
              <w:bottom w:val="single" w:color="auto" w:sz="4" w:space="0"/>
              <w:right w:val="single" w:color="auto" w:sz="4" w:space="0"/>
            </w:tcBorders>
            <w:noWrap w:val="0"/>
            <w:vAlign w:val="center"/>
          </w:tcPr>
          <w:p w14:paraId="73034B59">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宋体" w:hAnsi="宋体" w:eastAsia="宋体" w:cs="宋体"/>
                <w:kern w:val="0"/>
                <w:sz w:val="21"/>
                <w:lang w:val="en-US" w:eastAsia="zh-CN"/>
              </w:rPr>
            </w:pPr>
            <w:r>
              <w:rPr>
                <w:rFonts w:hint="eastAsia" w:ascii="宋体" w:hAnsi="宋体" w:eastAsia="宋体" w:cs="宋体"/>
                <w:kern w:val="0"/>
                <w:sz w:val="21"/>
                <w:lang w:val="en-US" w:eastAsia="zh-CN"/>
              </w:rPr>
              <w:t>1</w:t>
            </w:r>
          </w:p>
        </w:tc>
        <w:tc>
          <w:tcPr>
            <w:tcW w:w="4123" w:type="dxa"/>
            <w:tcBorders>
              <w:top w:val="single" w:color="auto" w:sz="4" w:space="0"/>
              <w:left w:val="nil"/>
              <w:bottom w:val="single" w:color="auto" w:sz="4" w:space="0"/>
              <w:right w:val="single" w:color="auto" w:sz="4" w:space="0"/>
            </w:tcBorders>
            <w:noWrap w:val="0"/>
            <w:vAlign w:val="center"/>
          </w:tcPr>
          <w:p w14:paraId="6455DBF5">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技术力量、维修人员、维护人员专业水平未能满足维修、维护需求。</w:t>
            </w:r>
          </w:p>
        </w:tc>
        <w:tc>
          <w:tcPr>
            <w:tcW w:w="1535" w:type="dxa"/>
            <w:tcBorders>
              <w:top w:val="single" w:color="auto" w:sz="4" w:space="0"/>
              <w:left w:val="nil"/>
              <w:bottom w:val="single" w:color="auto" w:sz="4" w:space="0"/>
              <w:right w:val="single" w:color="auto" w:sz="4" w:space="0"/>
            </w:tcBorders>
            <w:noWrap w:val="0"/>
            <w:vAlign w:val="center"/>
          </w:tcPr>
          <w:p w14:paraId="72683F31">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r>
              <w:rPr>
                <w:rFonts w:hint="eastAsia" w:ascii="宋体" w:hAnsi="宋体" w:eastAsia="宋体" w:cs="宋体"/>
                <w:kern w:val="0"/>
                <w:sz w:val="21"/>
                <w:szCs w:val="22"/>
              </w:rPr>
              <w:t>每次扣2分</w:t>
            </w:r>
          </w:p>
        </w:tc>
        <w:tc>
          <w:tcPr>
            <w:tcW w:w="1327" w:type="dxa"/>
            <w:tcBorders>
              <w:top w:val="single" w:color="auto" w:sz="4" w:space="0"/>
              <w:left w:val="nil"/>
              <w:bottom w:val="single" w:color="auto" w:sz="4" w:space="0"/>
              <w:right w:val="single" w:color="auto" w:sz="4" w:space="0"/>
            </w:tcBorders>
            <w:noWrap w:val="0"/>
            <w:vAlign w:val="center"/>
          </w:tcPr>
          <w:p w14:paraId="4BD69CDF">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c>
          <w:tcPr>
            <w:tcW w:w="756" w:type="dxa"/>
            <w:tcBorders>
              <w:top w:val="single" w:color="auto" w:sz="4" w:space="0"/>
              <w:left w:val="nil"/>
              <w:bottom w:val="single" w:color="auto" w:sz="4" w:space="0"/>
              <w:right w:val="single" w:color="auto" w:sz="4" w:space="0"/>
            </w:tcBorders>
            <w:noWrap w:val="0"/>
            <w:vAlign w:val="center"/>
          </w:tcPr>
          <w:p w14:paraId="31BAF74C">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c>
          <w:tcPr>
            <w:tcW w:w="897" w:type="dxa"/>
            <w:tcBorders>
              <w:top w:val="single" w:color="auto" w:sz="4" w:space="0"/>
              <w:left w:val="nil"/>
              <w:bottom w:val="single" w:color="auto" w:sz="4" w:space="0"/>
              <w:right w:val="single" w:color="auto" w:sz="4" w:space="0"/>
            </w:tcBorders>
            <w:noWrap w:val="0"/>
            <w:vAlign w:val="center"/>
          </w:tcPr>
          <w:p w14:paraId="04E99AD0">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r>
      <w:tr w14:paraId="1DB8247C">
        <w:tblPrEx>
          <w:tblCellMar>
            <w:top w:w="0" w:type="dxa"/>
            <w:left w:w="108" w:type="dxa"/>
            <w:bottom w:w="0" w:type="dxa"/>
            <w:right w:w="108" w:type="dxa"/>
          </w:tblCellMar>
        </w:tblPrEx>
        <w:trPr>
          <w:trHeight w:val="0" w:hRule="atLeast"/>
        </w:trPr>
        <w:tc>
          <w:tcPr>
            <w:tcW w:w="1324" w:type="dxa"/>
            <w:tcBorders>
              <w:top w:val="single" w:color="auto" w:sz="4" w:space="0"/>
              <w:left w:val="single" w:color="auto" w:sz="4" w:space="0"/>
              <w:bottom w:val="single" w:color="auto" w:sz="4" w:space="0"/>
              <w:right w:val="single" w:color="auto" w:sz="4" w:space="0"/>
            </w:tcBorders>
            <w:noWrap w:val="0"/>
            <w:vAlign w:val="center"/>
          </w:tcPr>
          <w:p w14:paraId="667E7DF8">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宋体" w:hAnsi="宋体" w:eastAsia="宋体" w:cs="宋体"/>
                <w:kern w:val="0"/>
                <w:sz w:val="21"/>
                <w:lang w:val="en-US" w:eastAsia="zh-CN"/>
              </w:rPr>
            </w:pPr>
            <w:r>
              <w:rPr>
                <w:rFonts w:hint="eastAsia" w:ascii="宋体" w:hAnsi="宋体" w:eastAsia="宋体" w:cs="宋体"/>
                <w:kern w:val="0"/>
                <w:sz w:val="21"/>
                <w:lang w:val="en-US" w:eastAsia="zh-CN"/>
              </w:rPr>
              <w:t>2</w:t>
            </w:r>
          </w:p>
        </w:tc>
        <w:tc>
          <w:tcPr>
            <w:tcW w:w="4123" w:type="dxa"/>
            <w:tcBorders>
              <w:top w:val="single" w:color="auto" w:sz="4" w:space="0"/>
              <w:left w:val="nil"/>
              <w:bottom w:val="single" w:color="auto" w:sz="4" w:space="0"/>
              <w:right w:val="single" w:color="auto" w:sz="4" w:space="0"/>
            </w:tcBorders>
            <w:noWrap w:val="0"/>
            <w:vAlign w:val="center"/>
          </w:tcPr>
          <w:p w14:paraId="03CA99AA">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抽检或抢修时无法联系到维护、维修人员提供技术支持。</w:t>
            </w:r>
          </w:p>
        </w:tc>
        <w:tc>
          <w:tcPr>
            <w:tcW w:w="1535" w:type="dxa"/>
            <w:tcBorders>
              <w:top w:val="single" w:color="auto" w:sz="4" w:space="0"/>
              <w:left w:val="nil"/>
              <w:bottom w:val="single" w:color="auto" w:sz="4" w:space="0"/>
              <w:right w:val="single" w:color="auto" w:sz="4" w:space="0"/>
            </w:tcBorders>
            <w:noWrap w:val="0"/>
            <w:vAlign w:val="center"/>
          </w:tcPr>
          <w:p w14:paraId="4DD049C1">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r>
              <w:rPr>
                <w:rFonts w:hint="eastAsia" w:ascii="宋体" w:hAnsi="宋体" w:eastAsia="宋体" w:cs="宋体"/>
                <w:kern w:val="0"/>
                <w:sz w:val="21"/>
                <w:szCs w:val="22"/>
              </w:rPr>
              <w:t>每次扣2分</w:t>
            </w:r>
          </w:p>
        </w:tc>
        <w:tc>
          <w:tcPr>
            <w:tcW w:w="1327" w:type="dxa"/>
            <w:tcBorders>
              <w:top w:val="single" w:color="auto" w:sz="4" w:space="0"/>
              <w:left w:val="nil"/>
              <w:bottom w:val="single" w:color="auto" w:sz="4" w:space="0"/>
              <w:right w:val="single" w:color="auto" w:sz="4" w:space="0"/>
            </w:tcBorders>
            <w:noWrap w:val="0"/>
            <w:vAlign w:val="center"/>
          </w:tcPr>
          <w:p w14:paraId="45CD1CAB">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c>
          <w:tcPr>
            <w:tcW w:w="756" w:type="dxa"/>
            <w:tcBorders>
              <w:top w:val="single" w:color="auto" w:sz="4" w:space="0"/>
              <w:left w:val="nil"/>
              <w:bottom w:val="single" w:color="auto" w:sz="4" w:space="0"/>
              <w:right w:val="single" w:color="auto" w:sz="4" w:space="0"/>
            </w:tcBorders>
            <w:noWrap w:val="0"/>
            <w:vAlign w:val="center"/>
          </w:tcPr>
          <w:p w14:paraId="41876D61">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c>
          <w:tcPr>
            <w:tcW w:w="897" w:type="dxa"/>
            <w:tcBorders>
              <w:top w:val="single" w:color="auto" w:sz="4" w:space="0"/>
              <w:left w:val="nil"/>
              <w:bottom w:val="single" w:color="auto" w:sz="4" w:space="0"/>
              <w:right w:val="single" w:color="auto" w:sz="4" w:space="0"/>
            </w:tcBorders>
            <w:noWrap w:val="0"/>
            <w:vAlign w:val="center"/>
          </w:tcPr>
          <w:p w14:paraId="3D2B5533">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r>
      <w:tr w14:paraId="23B2EDF7">
        <w:tblPrEx>
          <w:tblCellMar>
            <w:top w:w="0" w:type="dxa"/>
            <w:left w:w="108" w:type="dxa"/>
            <w:bottom w:w="0" w:type="dxa"/>
            <w:right w:w="108" w:type="dxa"/>
          </w:tblCellMar>
        </w:tblPrEx>
        <w:trPr>
          <w:trHeight w:val="0" w:hRule="atLeast"/>
        </w:trPr>
        <w:tc>
          <w:tcPr>
            <w:tcW w:w="1324" w:type="dxa"/>
            <w:tcBorders>
              <w:top w:val="single" w:color="auto" w:sz="4" w:space="0"/>
              <w:left w:val="single" w:color="auto" w:sz="4" w:space="0"/>
              <w:bottom w:val="single" w:color="auto" w:sz="4" w:space="0"/>
              <w:right w:val="single" w:color="auto" w:sz="4" w:space="0"/>
            </w:tcBorders>
            <w:noWrap w:val="0"/>
            <w:vAlign w:val="center"/>
          </w:tcPr>
          <w:p w14:paraId="4EE57BF4">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宋体" w:hAnsi="宋体" w:eastAsia="宋体" w:cs="宋体"/>
                <w:kern w:val="0"/>
                <w:sz w:val="21"/>
                <w:lang w:val="en-US" w:eastAsia="zh-CN"/>
              </w:rPr>
            </w:pPr>
            <w:r>
              <w:rPr>
                <w:rFonts w:hint="eastAsia" w:ascii="宋体" w:hAnsi="宋体" w:eastAsia="宋体" w:cs="宋体"/>
                <w:kern w:val="0"/>
                <w:sz w:val="21"/>
                <w:lang w:val="en-US" w:eastAsia="zh-CN"/>
              </w:rPr>
              <w:t>3</w:t>
            </w:r>
          </w:p>
        </w:tc>
        <w:tc>
          <w:tcPr>
            <w:tcW w:w="4123" w:type="dxa"/>
            <w:tcBorders>
              <w:top w:val="single" w:color="auto" w:sz="4" w:space="0"/>
              <w:left w:val="nil"/>
              <w:bottom w:val="single" w:color="auto" w:sz="4" w:space="0"/>
              <w:right w:val="single" w:color="auto" w:sz="4" w:space="0"/>
            </w:tcBorders>
            <w:noWrap w:val="0"/>
            <w:vAlign w:val="center"/>
          </w:tcPr>
          <w:p w14:paraId="45E76067">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备件、仪器仪表未能满足维护、维修需要。</w:t>
            </w:r>
          </w:p>
        </w:tc>
        <w:tc>
          <w:tcPr>
            <w:tcW w:w="1535" w:type="dxa"/>
            <w:tcBorders>
              <w:top w:val="single" w:color="auto" w:sz="4" w:space="0"/>
              <w:left w:val="nil"/>
              <w:bottom w:val="single" w:color="auto" w:sz="4" w:space="0"/>
              <w:right w:val="single" w:color="auto" w:sz="4" w:space="0"/>
            </w:tcBorders>
            <w:noWrap w:val="0"/>
            <w:vAlign w:val="center"/>
          </w:tcPr>
          <w:p w14:paraId="6A64334A">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r>
              <w:rPr>
                <w:rFonts w:hint="eastAsia" w:ascii="宋体" w:hAnsi="宋体" w:eastAsia="宋体" w:cs="宋体"/>
                <w:kern w:val="0"/>
                <w:sz w:val="21"/>
                <w:szCs w:val="22"/>
              </w:rPr>
              <w:t>每次扣</w:t>
            </w:r>
            <w:r>
              <w:rPr>
                <w:rFonts w:hint="eastAsia" w:ascii="宋体" w:hAnsi="宋体" w:eastAsia="宋体" w:cs="宋体"/>
                <w:kern w:val="0"/>
                <w:sz w:val="21"/>
                <w:szCs w:val="22"/>
                <w:lang w:val="en-US" w:eastAsia="zh-CN"/>
              </w:rPr>
              <w:t>3</w:t>
            </w:r>
            <w:r>
              <w:rPr>
                <w:rFonts w:hint="eastAsia" w:ascii="宋体" w:hAnsi="宋体" w:eastAsia="宋体" w:cs="宋体"/>
                <w:kern w:val="0"/>
                <w:sz w:val="21"/>
                <w:szCs w:val="22"/>
              </w:rPr>
              <w:t>分</w:t>
            </w:r>
          </w:p>
        </w:tc>
        <w:tc>
          <w:tcPr>
            <w:tcW w:w="1327" w:type="dxa"/>
            <w:tcBorders>
              <w:top w:val="single" w:color="auto" w:sz="4" w:space="0"/>
              <w:left w:val="nil"/>
              <w:bottom w:val="single" w:color="auto" w:sz="4" w:space="0"/>
              <w:right w:val="single" w:color="auto" w:sz="4" w:space="0"/>
            </w:tcBorders>
            <w:noWrap w:val="0"/>
            <w:vAlign w:val="center"/>
          </w:tcPr>
          <w:p w14:paraId="7991C24E">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c>
          <w:tcPr>
            <w:tcW w:w="756" w:type="dxa"/>
            <w:tcBorders>
              <w:top w:val="single" w:color="auto" w:sz="4" w:space="0"/>
              <w:left w:val="nil"/>
              <w:bottom w:val="single" w:color="auto" w:sz="4" w:space="0"/>
              <w:right w:val="single" w:color="auto" w:sz="4" w:space="0"/>
            </w:tcBorders>
            <w:noWrap w:val="0"/>
            <w:vAlign w:val="center"/>
          </w:tcPr>
          <w:p w14:paraId="653CBD9E">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c>
          <w:tcPr>
            <w:tcW w:w="897" w:type="dxa"/>
            <w:tcBorders>
              <w:top w:val="single" w:color="auto" w:sz="4" w:space="0"/>
              <w:left w:val="nil"/>
              <w:bottom w:val="single" w:color="auto" w:sz="4" w:space="0"/>
              <w:right w:val="single" w:color="auto" w:sz="4" w:space="0"/>
            </w:tcBorders>
            <w:noWrap w:val="0"/>
            <w:vAlign w:val="center"/>
          </w:tcPr>
          <w:p w14:paraId="165ADE19">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r>
      <w:tr w14:paraId="4C958115">
        <w:tblPrEx>
          <w:tblCellMar>
            <w:top w:w="0" w:type="dxa"/>
            <w:left w:w="108" w:type="dxa"/>
            <w:bottom w:w="0" w:type="dxa"/>
            <w:right w:w="108" w:type="dxa"/>
          </w:tblCellMar>
        </w:tblPrEx>
        <w:trPr>
          <w:trHeight w:val="0" w:hRule="atLeast"/>
        </w:trPr>
        <w:tc>
          <w:tcPr>
            <w:tcW w:w="1324" w:type="dxa"/>
            <w:tcBorders>
              <w:top w:val="single" w:color="auto" w:sz="4" w:space="0"/>
              <w:left w:val="single" w:color="auto" w:sz="4" w:space="0"/>
              <w:bottom w:val="single" w:color="auto" w:sz="4" w:space="0"/>
              <w:right w:val="single" w:color="auto" w:sz="4" w:space="0"/>
            </w:tcBorders>
            <w:noWrap w:val="0"/>
            <w:vAlign w:val="center"/>
          </w:tcPr>
          <w:p w14:paraId="7EE3FCDD">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宋体" w:hAnsi="宋体" w:eastAsia="宋体" w:cs="宋体"/>
                <w:kern w:val="0"/>
                <w:sz w:val="21"/>
                <w:lang w:val="en-US" w:eastAsia="zh-CN"/>
              </w:rPr>
            </w:pPr>
            <w:r>
              <w:rPr>
                <w:rFonts w:hint="eastAsia" w:ascii="宋体" w:hAnsi="宋体" w:eastAsia="宋体" w:cs="宋体"/>
                <w:kern w:val="0"/>
                <w:sz w:val="21"/>
                <w:lang w:val="en-US" w:eastAsia="zh-CN"/>
              </w:rPr>
              <w:t>4</w:t>
            </w:r>
          </w:p>
        </w:tc>
        <w:tc>
          <w:tcPr>
            <w:tcW w:w="4123" w:type="dxa"/>
            <w:tcBorders>
              <w:top w:val="single" w:color="auto" w:sz="4" w:space="0"/>
              <w:left w:val="nil"/>
              <w:bottom w:val="single" w:color="auto" w:sz="4" w:space="0"/>
              <w:right w:val="single" w:color="auto" w:sz="4" w:space="0"/>
            </w:tcBorders>
            <w:noWrap w:val="0"/>
            <w:vAlign w:val="center"/>
          </w:tcPr>
          <w:p w14:paraId="2F28373D">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同一设备每月度相同故障次数≥2次</w:t>
            </w:r>
          </w:p>
        </w:tc>
        <w:tc>
          <w:tcPr>
            <w:tcW w:w="1535" w:type="dxa"/>
            <w:tcBorders>
              <w:top w:val="single" w:color="auto" w:sz="4" w:space="0"/>
              <w:left w:val="nil"/>
              <w:bottom w:val="single" w:color="auto" w:sz="4" w:space="0"/>
              <w:right w:val="single" w:color="auto" w:sz="4" w:space="0"/>
            </w:tcBorders>
            <w:noWrap w:val="0"/>
            <w:vAlign w:val="center"/>
          </w:tcPr>
          <w:p w14:paraId="18FDA371">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r>
              <w:rPr>
                <w:rFonts w:hint="eastAsia" w:ascii="宋体" w:hAnsi="宋体" w:eastAsia="宋体" w:cs="宋体"/>
                <w:kern w:val="0"/>
                <w:sz w:val="21"/>
              </w:rPr>
              <w:t>每次扣</w:t>
            </w:r>
            <w:r>
              <w:rPr>
                <w:rFonts w:hint="eastAsia" w:ascii="宋体" w:hAnsi="宋体" w:eastAsia="宋体" w:cs="宋体"/>
                <w:kern w:val="0"/>
                <w:sz w:val="21"/>
                <w:lang w:val="en-US" w:eastAsia="zh-CN"/>
              </w:rPr>
              <w:t>5</w:t>
            </w:r>
            <w:r>
              <w:rPr>
                <w:rFonts w:hint="eastAsia" w:ascii="宋体" w:hAnsi="宋体" w:eastAsia="宋体" w:cs="宋体"/>
                <w:kern w:val="0"/>
                <w:sz w:val="21"/>
              </w:rPr>
              <w:t>分</w:t>
            </w:r>
          </w:p>
        </w:tc>
        <w:tc>
          <w:tcPr>
            <w:tcW w:w="1327" w:type="dxa"/>
            <w:tcBorders>
              <w:top w:val="single" w:color="auto" w:sz="4" w:space="0"/>
              <w:left w:val="nil"/>
              <w:bottom w:val="single" w:color="auto" w:sz="4" w:space="0"/>
              <w:right w:val="single" w:color="auto" w:sz="4" w:space="0"/>
            </w:tcBorders>
            <w:noWrap w:val="0"/>
            <w:vAlign w:val="center"/>
          </w:tcPr>
          <w:p w14:paraId="7C0FB6CF">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c>
          <w:tcPr>
            <w:tcW w:w="756" w:type="dxa"/>
            <w:tcBorders>
              <w:top w:val="single" w:color="auto" w:sz="4" w:space="0"/>
              <w:left w:val="nil"/>
              <w:bottom w:val="single" w:color="auto" w:sz="4" w:space="0"/>
              <w:right w:val="single" w:color="auto" w:sz="4" w:space="0"/>
            </w:tcBorders>
            <w:noWrap w:val="0"/>
            <w:vAlign w:val="center"/>
          </w:tcPr>
          <w:p w14:paraId="75C5AAEB">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c>
          <w:tcPr>
            <w:tcW w:w="897" w:type="dxa"/>
            <w:tcBorders>
              <w:top w:val="single" w:color="auto" w:sz="4" w:space="0"/>
              <w:left w:val="nil"/>
              <w:bottom w:val="single" w:color="auto" w:sz="4" w:space="0"/>
              <w:right w:val="single" w:color="auto" w:sz="4" w:space="0"/>
            </w:tcBorders>
            <w:noWrap w:val="0"/>
            <w:vAlign w:val="center"/>
          </w:tcPr>
          <w:p w14:paraId="2338CEC8">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r>
      <w:tr w14:paraId="489F2FE6">
        <w:tblPrEx>
          <w:tblCellMar>
            <w:top w:w="0" w:type="dxa"/>
            <w:left w:w="108" w:type="dxa"/>
            <w:bottom w:w="0" w:type="dxa"/>
            <w:right w:w="108" w:type="dxa"/>
          </w:tblCellMar>
        </w:tblPrEx>
        <w:trPr>
          <w:trHeight w:val="0" w:hRule="atLeast"/>
        </w:trPr>
        <w:tc>
          <w:tcPr>
            <w:tcW w:w="1324" w:type="dxa"/>
            <w:tcBorders>
              <w:top w:val="single" w:color="auto" w:sz="4" w:space="0"/>
              <w:left w:val="single" w:color="auto" w:sz="4" w:space="0"/>
              <w:bottom w:val="single" w:color="auto" w:sz="4" w:space="0"/>
              <w:right w:val="single" w:color="auto" w:sz="4" w:space="0"/>
            </w:tcBorders>
            <w:noWrap w:val="0"/>
            <w:vAlign w:val="center"/>
          </w:tcPr>
          <w:p w14:paraId="1DAFCFDA">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宋体" w:hAnsi="宋体" w:eastAsia="宋体" w:cs="宋体"/>
                <w:kern w:val="0"/>
                <w:sz w:val="21"/>
                <w:lang w:val="en-US" w:eastAsia="zh-CN"/>
              </w:rPr>
            </w:pPr>
            <w:r>
              <w:rPr>
                <w:rFonts w:hint="eastAsia" w:ascii="宋体" w:hAnsi="宋体" w:eastAsia="宋体" w:cs="宋体"/>
                <w:kern w:val="0"/>
                <w:sz w:val="21"/>
                <w:lang w:val="en-US" w:eastAsia="zh-CN"/>
              </w:rPr>
              <w:t>5</w:t>
            </w:r>
          </w:p>
        </w:tc>
        <w:tc>
          <w:tcPr>
            <w:tcW w:w="4123" w:type="dxa"/>
            <w:tcBorders>
              <w:top w:val="single" w:color="auto" w:sz="4" w:space="0"/>
              <w:left w:val="nil"/>
              <w:bottom w:val="single" w:color="auto" w:sz="4" w:space="0"/>
              <w:right w:val="single" w:color="auto" w:sz="4" w:space="0"/>
            </w:tcBorders>
            <w:noWrap w:val="0"/>
            <w:vAlign w:val="center"/>
          </w:tcPr>
          <w:p w14:paraId="0832E026">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未能及时提供技术服务支持</w:t>
            </w:r>
            <w:r>
              <w:rPr>
                <w:rFonts w:hint="eastAsia" w:ascii="宋体" w:hAnsi="宋体" w:cs="宋体"/>
                <w:kern w:val="0"/>
                <w:sz w:val="21"/>
                <w:szCs w:val="21"/>
                <w:lang w:val="en-US" w:eastAsia="zh-CN"/>
              </w:rPr>
              <w:t>。</w:t>
            </w:r>
          </w:p>
        </w:tc>
        <w:tc>
          <w:tcPr>
            <w:tcW w:w="1535" w:type="dxa"/>
            <w:tcBorders>
              <w:top w:val="single" w:color="auto" w:sz="4" w:space="0"/>
              <w:left w:val="nil"/>
              <w:bottom w:val="single" w:color="auto" w:sz="4" w:space="0"/>
              <w:right w:val="single" w:color="auto" w:sz="4" w:space="0"/>
            </w:tcBorders>
            <w:noWrap w:val="0"/>
            <w:vAlign w:val="center"/>
          </w:tcPr>
          <w:p w14:paraId="7649075C">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r>
              <w:rPr>
                <w:rFonts w:hint="eastAsia" w:ascii="宋体" w:hAnsi="宋体" w:eastAsia="宋体" w:cs="宋体"/>
                <w:kern w:val="0"/>
                <w:sz w:val="21"/>
              </w:rPr>
              <w:t>每次扣</w:t>
            </w:r>
            <w:r>
              <w:rPr>
                <w:rFonts w:hint="eastAsia" w:ascii="宋体" w:hAnsi="宋体" w:eastAsia="宋体" w:cs="宋体"/>
                <w:kern w:val="0"/>
                <w:sz w:val="21"/>
                <w:lang w:val="en-US" w:eastAsia="zh-CN"/>
              </w:rPr>
              <w:t>2</w:t>
            </w:r>
            <w:r>
              <w:rPr>
                <w:rFonts w:hint="eastAsia" w:ascii="宋体" w:hAnsi="宋体" w:eastAsia="宋体" w:cs="宋体"/>
                <w:kern w:val="0"/>
                <w:sz w:val="21"/>
              </w:rPr>
              <w:t>分</w:t>
            </w:r>
          </w:p>
        </w:tc>
        <w:tc>
          <w:tcPr>
            <w:tcW w:w="1327" w:type="dxa"/>
            <w:tcBorders>
              <w:top w:val="single" w:color="auto" w:sz="4" w:space="0"/>
              <w:left w:val="nil"/>
              <w:bottom w:val="single" w:color="auto" w:sz="4" w:space="0"/>
              <w:right w:val="single" w:color="auto" w:sz="4" w:space="0"/>
            </w:tcBorders>
            <w:noWrap w:val="0"/>
            <w:vAlign w:val="center"/>
          </w:tcPr>
          <w:p w14:paraId="1E8F00F1">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c>
          <w:tcPr>
            <w:tcW w:w="756" w:type="dxa"/>
            <w:tcBorders>
              <w:top w:val="single" w:color="auto" w:sz="4" w:space="0"/>
              <w:left w:val="nil"/>
              <w:bottom w:val="single" w:color="auto" w:sz="4" w:space="0"/>
              <w:right w:val="single" w:color="auto" w:sz="4" w:space="0"/>
            </w:tcBorders>
            <w:noWrap w:val="0"/>
            <w:vAlign w:val="center"/>
          </w:tcPr>
          <w:p w14:paraId="4DB2AD10">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c>
          <w:tcPr>
            <w:tcW w:w="897" w:type="dxa"/>
            <w:tcBorders>
              <w:top w:val="single" w:color="auto" w:sz="4" w:space="0"/>
              <w:left w:val="nil"/>
              <w:bottom w:val="single" w:color="auto" w:sz="4" w:space="0"/>
              <w:right w:val="single" w:color="auto" w:sz="4" w:space="0"/>
            </w:tcBorders>
            <w:noWrap w:val="0"/>
            <w:vAlign w:val="center"/>
          </w:tcPr>
          <w:p w14:paraId="4D88C1BA">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r>
      <w:tr w14:paraId="188693AD">
        <w:tblPrEx>
          <w:tblCellMar>
            <w:top w:w="0" w:type="dxa"/>
            <w:left w:w="108" w:type="dxa"/>
            <w:bottom w:w="0" w:type="dxa"/>
            <w:right w:w="108" w:type="dxa"/>
          </w:tblCellMar>
        </w:tblPrEx>
        <w:trPr>
          <w:trHeight w:val="0" w:hRule="atLeast"/>
        </w:trPr>
        <w:tc>
          <w:tcPr>
            <w:tcW w:w="1324" w:type="dxa"/>
            <w:tcBorders>
              <w:top w:val="single" w:color="auto" w:sz="4" w:space="0"/>
              <w:left w:val="single" w:color="auto" w:sz="4" w:space="0"/>
              <w:bottom w:val="single" w:color="auto" w:sz="4" w:space="0"/>
              <w:right w:val="single" w:color="auto" w:sz="4" w:space="0"/>
            </w:tcBorders>
            <w:noWrap w:val="0"/>
            <w:vAlign w:val="center"/>
          </w:tcPr>
          <w:p w14:paraId="7B73642B">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宋体" w:hAnsi="宋体" w:eastAsia="宋体" w:cs="宋体"/>
                <w:kern w:val="0"/>
                <w:sz w:val="21"/>
                <w:lang w:val="en-US" w:eastAsia="zh-CN"/>
              </w:rPr>
            </w:pPr>
            <w:r>
              <w:rPr>
                <w:rFonts w:hint="eastAsia" w:ascii="宋体" w:hAnsi="宋体" w:eastAsia="宋体" w:cs="宋体"/>
                <w:kern w:val="0"/>
                <w:sz w:val="21"/>
                <w:lang w:val="en-US" w:eastAsia="zh-CN"/>
              </w:rPr>
              <w:t>6</w:t>
            </w:r>
          </w:p>
        </w:tc>
        <w:tc>
          <w:tcPr>
            <w:tcW w:w="4123" w:type="dxa"/>
            <w:tcBorders>
              <w:top w:val="single" w:color="auto" w:sz="4" w:space="0"/>
              <w:left w:val="nil"/>
              <w:bottom w:val="single" w:color="auto" w:sz="4" w:space="0"/>
              <w:right w:val="single" w:color="auto" w:sz="4" w:space="0"/>
            </w:tcBorders>
            <w:noWrap w:val="0"/>
            <w:vAlign w:val="center"/>
          </w:tcPr>
          <w:p w14:paraId="232A94F8">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在技术服务支持过程中发生错误判断或错误操作，性质一般、未导致严重后果。</w:t>
            </w:r>
          </w:p>
        </w:tc>
        <w:tc>
          <w:tcPr>
            <w:tcW w:w="1535" w:type="dxa"/>
            <w:tcBorders>
              <w:top w:val="single" w:color="auto" w:sz="4" w:space="0"/>
              <w:left w:val="nil"/>
              <w:bottom w:val="single" w:color="auto" w:sz="4" w:space="0"/>
              <w:right w:val="single" w:color="auto" w:sz="4" w:space="0"/>
            </w:tcBorders>
            <w:noWrap w:val="0"/>
            <w:vAlign w:val="center"/>
          </w:tcPr>
          <w:p w14:paraId="463713B6">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r>
              <w:rPr>
                <w:rFonts w:hint="eastAsia" w:ascii="宋体" w:hAnsi="宋体" w:eastAsia="宋体" w:cs="宋体"/>
                <w:kern w:val="0"/>
                <w:sz w:val="21"/>
              </w:rPr>
              <w:t>每次扣</w:t>
            </w:r>
            <w:r>
              <w:rPr>
                <w:rFonts w:hint="eastAsia" w:ascii="宋体" w:hAnsi="宋体" w:eastAsia="宋体" w:cs="宋体"/>
                <w:kern w:val="0"/>
                <w:sz w:val="21"/>
                <w:lang w:val="en-US" w:eastAsia="zh-CN"/>
              </w:rPr>
              <w:t>5</w:t>
            </w:r>
            <w:r>
              <w:rPr>
                <w:rFonts w:hint="eastAsia" w:ascii="宋体" w:hAnsi="宋体" w:eastAsia="宋体" w:cs="宋体"/>
                <w:kern w:val="0"/>
                <w:sz w:val="21"/>
              </w:rPr>
              <w:t>分</w:t>
            </w:r>
          </w:p>
        </w:tc>
        <w:tc>
          <w:tcPr>
            <w:tcW w:w="1327" w:type="dxa"/>
            <w:tcBorders>
              <w:top w:val="single" w:color="auto" w:sz="4" w:space="0"/>
              <w:left w:val="nil"/>
              <w:bottom w:val="single" w:color="auto" w:sz="4" w:space="0"/>
              <w:right w:val="single" w:color="auto" w:sz="4" w:space="0"/>
            </w:tcBorders>
            <w:noWrap w:val="0"/>
            <w:vAlign w:val="center"/>
          </w:tcPr>
          <w:p w14:paraId="7552A3AE">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c>
          <w:tcPr>
            <w:tcW w:w="756" w:type="dxa"/>
            <w:tcBorders>
              <w:top w:val="single" w:color="auto" w:sz="4" w:space="0"/>
              <w:left w:val="nil"/>
              <w:bottom w:val="single" w:color="auto" w:sz="4" w:space="0"/>
              <w:right w:val="single" w:color="auto" w:sz="4" w:space="0"/>
            </w:tcBorders>
            <w:noWrap w:val="0"/>
            <w:vAlign w:val="center"/>
          </w:tcPr>
          <w:p w14:paraId="5682192D">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c>
          <w:tcPr>
            <w:tcW w:w="897" w:type="dxa"/>
            <w:tcBorders>
              <w:top w:val="single" w:color="auto" w:sz="4" w:space="0"/>
              <w:left w:val="nil"/>
              <w:bottom w:val="single" w:color="auto" w:sz="4" w:space="0"/>
              <w:right w:val="single" w:color="auto" w:sz="4" w:space="0"/>
            </w:tcBorders>
            <w:noWrap w:val="0"/>
            <w:vAlign w:val="center"/>
          </w:tcPr>
          <w:p w14:paraId="1E355D59">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r>
      <w:tr w14:paraId="12FB3DA0">
        <w:tblPrEx>
          <w:tblCellMar>
            <w:top w:w="0" w:type="dxa"/>
            <w:left w:w="108" w:type="dxa"/>
            <w:bottom w:w="0" w:type="dxa"/>
            <w:right w:w="108" w:type="dxa"/>
          </w:tblCellMar>
        </w:tblPrEx>
        <w:trPr>
          <w:trHeight w:val="0" w:hRule="atLeast"/>
        </w:trPr>
        <w:tc>
          <w:tcPr>
            <w:tcW w:w="1324" w:type="dxa"/>
            <w:tcBorders>
              <w:top w:val="single" w:color="auto" w:sz="4" w:space="0"/>
              <w:left w:val="single" w:color="auto" w:sz="4" w:space="0"/>
              <w:bottom w:val="single" w:color="auto" w:sz="4" w:space="0"/>
              <w:right w:val="single" w:color="auto" w:sz="4" w:space="0"/>
            </w:tcBorders>
            <w:noWrap w:val="0"/>
            <w:vAlign w:val="center"/>
          </w:tcPr>
          <w:p w14:paraId="63EDE541">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lang w:eastAsia="zh-CN"/>
              </w:rPr>
            </w:pPr>
            <w:r>
              <w:rPr>
                <w:rFonts w:hint="eastAsia" w:ascii="宋体" w:hAnsi="宋体" w:eastAsia="宋体" w:cs="宋体"/>
                <w:kern w:val="0"/>
                <w:sz w:val="21"/>
                <w:lang w:val="en-US" w:eastAsia="zh-CN"/>
              </w:rPr>
              <w:t>7</w:t>
            </w:r>
          </w:p>
        </w:tc>
        <w:tc>
          <w:tcPr>
            <w:tcW w:w="4123" w:type="dxa"/>
            <w:tcBorders>
              <w:top w:val="single" w:color="auto" w:sz="4" w:space="0"/>
              <w:left w:val="nil"/>
              <w:bottom w:val="single" w:color="auto" w:sz="4" w:space="0"/>
              <w:right w:val="single" w:color="auto" w:sz="4" w:space="0"/>
            </w:tcBorders>
            <w:noWrap w:val="0"/>
            <w:vAlign w:val="center"/>
          </w:tcPr>
          <w:p w14:paraId="571F7A87">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在技术支持过程中发生错误判断或错误操作，性质恶劣或造成严重后果的。</w:t>
            </w:r>
          </w:p>
        </w:tc>
        <w:tc>
          <w:tcPr>
            <w:tcW w:w="1535" w:type="dxa"/>
            <w:tcBorders>
              <w:top w:val="single" w:color="auto" w:sz="4" w:space="0"/>
              <w:left w:val="nil"/>
              <w:bottom w:val="single" w:color="auto" w:sz="4" w:space="0"/>
              <w:right w:val="single" w:color="auto" w:sz="4" w:space="0"/>
            </w:tcBorders>
            <w:noWrap w:val="0"/>
            <w:vAlign w:val="center"/>
          </w:tcPr>
          <w:p w14:paraId="424A3E25">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r>
              <w:rPr>
                <w:rFonts w:hint="eastAsia" w:ascii="宋体" w:hAnsi="宋体" w:eastAsia="宋体" w:cs="宋体"/>
                <w:kern w:val="0"/>
                <w:sz w:val="21"/>
              </w:rPr>
              <w:t>每次扣</w:t>
            </w:r>
            <w:r>
              <w:rPr>
                <w:rFonts w:hint="eastAsia" w:ascii="宋体" w:hAnsi="宋体" w:eastAsia="宋体" w:cs="宋体"/>
                <w:kern w:val="0"/>
                <w:sz w:val="21"/>
                <w:lang w:val="en-US" w:eastAsia="zh-CN"/>
              </w:rPr>
              <w:t>20</w:t>
            </w:r>
            <w:r>
              <w:rPr>
                <w:rFonts w:hint="eastAsia" w:ascii="宋体" w:hAnsi="宋体" w:eastAsia="宋体" w:cs="宋体"/>
                <w:kern w:val="0"/>
                <w:sz w:val="21"/>
              </w:rPr>
              <w:t>分</w:t>
            </w:r>
          </w:p>
        </w:tc>
        <w:tc>
          <w:tcPr>
            <w:tcW w:w="1327" w:type="dxa"/>
            <w:tcBorders>
              <w:top w:val="single" w:color="auto" w:sz="4" w:space="0"/>
              <w:left w:val="nil"/>
              <w:bottom w:val="single" w:color="auto" w:sz="4" w:space="0"/>
              <w:right w:val="single" w:color="auto" w:sz="4" w:space="0"/>
            </w:tcBorders>
            <w:noWrap w:val="0"/>
            <w:vAlign w:val="center"/>
          </w:tcPr>
          <w:p w14:paraId="24CA43E4">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c>
          <w:tcPr>
            <w:tcW w:w="756" w:type="dxa"/>
            <w:tcBorders>
              <w:top w:val="single" w:color="auto" w:sz="4" w:space="0"/>
              <w:left w:val="nil"/>
              <w:bottom w:val="single" w:color="auto" w:sz="4" w:space="0"/>
              <w:right w:val="single" w:color="auto" w:sz="4" w:space="0"/>
            </w:tcBorders>
            <w:noWrap w:val="0"/>
            <w:vAlign w:val="center"/>
          </w:tcPr>
          <w:p w14:paraId="696B674A">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c>
          <w:tcPr>
            <w:tcW w:w="897" w:type="dxa"/>
            <w:tcBorders>
              <w:top w:val="single" w:color="auto" w:sz="4" w:space="0"/>
              <w:left w:val="nil"/>
              <w:bottom w:val="single" w:color="auto" w:sz="4" w:space="0"/>
              <w:right w:val="single" w:color="auto" w:sz="4" w:space="0"/>
            </w:tcBorders>
            <w:noWrap w:val="0"/>
            <w:vAlign w:val="center"/>
          </w:tcPr>
          <w:p w14:paraId="65758CA1">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r>
      <w:tr w14:paraId="59BFCDAA">
        <w:tblPrEx>
          <w:tblCellMar>
            <w:top w:w="0" w:type="dxa"/>
            <w:left w:w="108" w:type="dxa"/>
            <w:bottom w:w="0" w:type="dxa"/>
            <w:right w:w="108" w:type="dxa"/>
          </w:tblCellMar>
        </w:tblPrEx>
        <w:trPr>
          <w:trHeight w:val="0" w:hRule="atLeast"/>
        </w:trPr>
        <w:tc>
          <w:tcPr>
            <w:tcW w:w="1324" w:type="dxa"/>
            <w:tcBorders>
              <w:top w:val="single" w:color="auto" w:sz="4" w:space="0"/>
              <w:left w:val="single" w:color="auto" w:sz="4" w:space="0"/>
              <w:bottom w:val="single" w:color="auto" w:sz="4" w:space="0"/>
              <w:right w:val="single" w:color="auto" w:sz="4" w:space="0"/>
            </w:tcBorders>
            <w:noWrap w:val="0"/>
            <w:vAlign w:val="center"/>
          </w:tcPr>
          <w:p w14:paraId="1E4F8E59">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lang w:eastAsia="zh-CN"/>
              </w:rPr>
            </w:pPr>
            <w:r>
              <w:rPr>
                <w:rFonts w:hint="eastAsia" w:ascii="宋体" w:hAnsi="宋体" w:eastAsia="宋体" w:cs="宋体"/>
                <w:kern w:val="0"/>
                <w:sz w:val="21"/>
                <w:lang w:val="en-US" w:eastAsia="zh-CN"/>
              </w:rPr>
              <w:t>8</w:t>
            </w:r>
          </w:p>
        </w:tc>
        <w:tc>
          <w:tcPr>
            <w:tcW w:w="4123" w:type="dxa"/>
            <w:tcBorders>
              <w:top w:val="nil"/>
              <w:left w:val="nil"/>
              <w:bottom w:val="single" w:color="auto" w:sz="4" w:space="0"/>
              <w:right w:val="single" w:color="auto" w:sz="4" w:space="0"/>
            </w:tcBorders>
            <w:noWrap w:val="0"/>
            <w:vAlign w:val="center"/>
          </w:tcPr>
          <w:p w14:paraId="183060AF">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乙方必须在检修完成后【3天内】出具相关检修报告。</w:t>
            </w:r>
          </w:p>
        </w:tc>
        <w:tc>
          <w:tcPr>
            <w:tcW w:w="1535" w:type="dxa"/>
            <w:tcBorders>
              <w:top w:val="nil"/>
              <w:left w:val="nil"/>
              <w:bottom w:val="single" w:color="auto" w:sz="4" w:space="0"/>
              <w:right w:val="single" w:color="auto" w:sz="4" w:space="0"/>
            </w:tcBorders>
            <w:noWrap w:val="0"/>
            <w:vAlign w:val="center"/>
          </w:tcPr>
          <w:p w14:paraId="064E81B1">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r>
              <w:rPr>
                <w:rFonts w:hint="eastAsia" w:ascii="宋体" w:hAnsi="宋体" w:eastAsia="宋体" w:cs="宋体"/>
                <w:kern w:val="0"/>
                <w:sz w:val="21"/>
              </w:rPr>
              <w:t>每次扣</w:t>
            </w:r>
            <w:r>
              <w:rPr>
                <w:rFonts w:hint="eastAsia" w:ascii="宋体" w:hAnsi="宋体" w:eastAsia="宋体" w:cs="宋体"/>
                <w:kern w:val="0"/>
                <w:sz w:val="21"/>
                <w:lang w:val="en-US" w:eastAsia="zh-CN"/>
              </w:rPr>
              <w:t>1</w:t>
            </w:r>
            <w:r>
              <w:rPr>
                <w:rFonts w:hint="eastAsia" w:ascii="宋体" w:hAnsi="宋体" w:eastAsia="宋体" w:cs="宋体"/>
                <w:kern w:val="0"/>
                <w:sz w:val="21"/>
              </w:rPr>
              <w:t>分</w:t>
            </w:r>
          </w:p>
        </w:tc>
        <w:tc>
          <w:tcPr>
            <w:tcW w:w="1327" w:type="dxa"/>
            <w:tcBorders>
              <w:top w:val="nil"/>
              <w:left w:val="nil"/>
              <w:bottom w:val="single" w:color="auto" w:sz="4" w:space="0"/>
              <w:right w:val="single" w:color="auto" w:sz="4" w:space="0"/>
            </w:tcBorders>
            <w:noWrap w:val="0"/>
            <w:vAlign w:val="center"/>
          </w:tcPr>
          <w:p w14:paraId="06FD8616">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c>
          <w:tcPr>
            <w:tcW w:w="756" w:type="dxa"/>
            <w:tcBorders>
              <w:top w:val="nil"/>
              <w:left w:val="nil"/>
              <w:bottom w:val="single" w:color="auto" w:sz="4" w:space="0"/>
              <w:right w:val="single" w:color="auto" w:sz="4" w:space="0"/>
            </w:tcBorders>
            <w:noWrap w:val="0"/>
            <w:vAlign w:val="center"/>
          </w:tcPr>
          <w:p w14:paraId="3FE59E30">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c>
          <w:tcPr>
            <w:tcW w:w="897" w:type="dxa"/>
            <w:tcBorders>
              <w:top w:val="nil"/>
              <w:left w:val="nil"/>
              <w:bottom w:val="single" w:color="auto" w:sz="4" w:space="0"/>
              <w:right w:val="single" w:color="auto" w:sz="4" w:space="0"/>
            </w:tcBorders>
            <w:noWrap w:val="0"/>
            <w:vAlign w:val="center"/>
          </w:tcPr>
          <w:p w14:paraId="6CCD8670">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r>
      <w:tr w14:paraId="29905E28">
        <w:tblPrEx>
          <w:tblCellMar>
            <w:top w:w="0" w:type="dxa"/>
            <w:left w:w="108" w:type="dxa"/>
            <w:bottom w:w="0" w:type="dxa"/>
            <w:right w:w="108" w:type="dxa"/>
          </w:tblCellMar>
        </w:tblPrEx>
        <w:trPr>
          <w:trHeight w:val="0" w:hRule="atLeast"/>
        </w:trPr>
        <w:tc>
          <w:tcPr>
            <w:tcW w:w="1324" w:type="dxa"/>
            <w:tcBorders>
              <w:top w:val="single" w:color="auto" w:sz="4" w:space="0"/>
              <w:left w:val="single" w:color="auto" w:sz="4" w:space="0"/>
              <w:bottom w:val="single" w:color="auto" w:sz="4" w:space="0"/>
              <w:right w:val="single" w:color="auto" w:sz="4" w:space="0"/>
            </w:tcBorders>
            <w:noWrap w:val="0"/>
            <w:vAlign w:val="center"/>
          </w:tcPr>
          <w:p w14:paraId="0606ECEA">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宋体" w:hAnsi="宋体" w:eastAsia="宋体" w:cs="宋体"/>
                <w:kern w:val="0"/>
                <w:sz w:val="21"/>
                <w:lang w:val="en-US" w:eastAsia="zh-CN"/>
              </w:rPr>
            </w:pPr>
            <w:r>
              <w:rPr>
                <w:rFonts w:hint="eastAsia" w:ascii="宋体" w:hAnsi="宋体" w:eastAsia="宋体" w:cs="宋体"/>
                <w:kern w:val="0"/>
                <w:sz w:val="21"/>
                <w:lang w:val="en-US" w:eastAsia="zh-CN"/>
              </w:rPr>
              <w:t>9</w:t>
            </w:r>
          </w:p>
        </w:tc>
        <w:tc>
          <w:tcPr>
            <w:tcW w:w="4123" w:type="dxa"/>
            <w:tcBorders>
              <w:top w:val="nil"/>
              <w:left w:val="nil"/>
              <w:bottom w:val="single" w:color="auto" w:sz="4" w:space="0"/>
              <w:right w:val="single" w:color="auto" w:sz="4" w:space="0"/>
            </w:tcBorders>
            <w:noWrap w:val="0"/>
            <w:vAlign w:val="center"/>
          </w:tcPr>
          <w:p w14:paraId="6966D176">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消防设备反复出现2次（含2次）相同故障的，乙方应安排工程师排查故障后，【7天内】向甲方提供检测报告。</w:t>
            </w:r>
          </w:p>
        </w:tc>
        <w:tc>
          <w:tcPr>
            <w:tcW w:w="1535" w:type="dxa"/>
            <w:tcBorders>
              <w:top w:val="nil"/>
              <w:left w:val="nil"/>
              <w:bottom w:val="single" w:color="auto" w:sz="4" w:space="0"/>
              <w:right w:val="single" w:color="auto" w:sz="4" w:space="0"/>
            </w:tcBorders>
            <w:noWrap w:val="0"/>
            <w:vAlign w:val="center"/>
          </w:tcPr>
          <w:p w14:paraId="1F24A33C">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r>
              <w:rPr>
                <w:rFonts w:hint="eastAsia" w:ascii="宋体" w:hAnsi="宋体" w:eastAsia="宋体" w:cs="宋体"/>
                <w:kern w:val="0"/>
                <w:sz w:val="21"/>
              </w:rPr>
              <w:t>每次扣</w:t>
            </w:r>
            <w:r>
              <w:rPr>
                <w:rFonts w:hint="eastAsia" w:ascii="宋体" w:hAnsi="宋体" w:eastAsia="宋体" w:cs="宋体"/>
                <w:kern w:val="0"/>
                <w:sz w:val="21"/>
                <w:lang w:val="en-US" w:eastAsia="zh-CN"/>
              </w:rPr>
              <w:t>6</w:t>
            </w:r>
            <w:r>
              <w:rPr>
                <w:rFonts w:hint="eastAsia" w:ascii="宋体" w:hAnsi="宋体" w:eastAsia="宋体" w:cs="宋体"/>
                <w:kern w:val="0"/>
                <w:sz w:val="21"/>
              </w:rPr>
              <w:t>分</w:t>
            </w:r>
          </w:p>
        </w:tc>
        <w:tc>
          <w:tcPr>
            <w:tcW w:w="1327" w:type="dxa"/>
            <w:tcBorders>
              <w:top w:val="nil"/>
              <w:left w:val="nil"/>
              <w:bottom w:val="single" w:color="auto" w:sz="4" w:space="0"/>
              <w:right w:val="single" w:color="auto" w:sz="4" w:space="0"/>
            </w:tcBorders>
            <w:noWrap w:val="0"/>
            <w:vAlign w:val="center"/>
          </w:tcPr>
          <w:p w14:paraId="45D429A3">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c>
          <w:tcPr>
            <w:tcW w:w="756" w:type="dxa"/>
            <w:tcBorders>
              <w:top w:val="nil"/>
              <w:left w:val="nil"/>
              <w:bottom w:val="single" w:color="auto" w:sz="4" w:space="0"/>
              <w:right w:val="single" w:color="auto" w:sz="4" w:space="0"/>
            </w:tcBorders>
            <w:noWrap w:val="0"/>
            <w:vAlign w:val="center"/>
          </w:tcPr>
          <w:p w14:paraId="54B5A092">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c>
          <w:tcPr>
            <w:tcW w:w="897" w:type="dxa"/>
            <w:tcBorders>
              <w:top w:val="nil"/>
              <w:left w:val="nil"/>
              <w:bottom w:val="single" w:color="auto" w:sz="4" w:space="0"/>
              <w:right w:val="single" w:color="auto" w:sz="4" w:space="0"/>
            </w:tcBorders>
            <w:noWrap w:val="0"/>
            <w:vAlign w:val="center"/>
          </w:tcPr>
          <w:p w14:paraId="7082EFD9">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r>
      <w:tr w14:paraId="0C0E7567">
        <w:tblPrEx>
          <w:tblCellMar>
            <w:top w:w="0" w:type="dxa"/>
            <w:left w:w="108" w:type="dxa"/>
            <w:bottom w:w="0" w:type="dxa"/>
            <w:right w:w="108" w:type="dxa"/>
          </w:tblCellMar>
        </w:tblPrEx>
        <w:trPr>
          <w:trHeight w:val="0" w:hRule="atLeast"/>
        </w:trPr>
        <w:tc>
          <w:tcPr>
            <w:tcW w:w="1324" w:type="dxa"/>
            <w:tcBorders>
              <w:top w:val="single" w:color="auto" w:sz="4" w:space="0"/>
              <w:left w:val="single" w:color="auto" w:sz="4" w:space="0"/>
              <w:bottom w:val="single" w:color="auto" w:sz="4" w:space="0"/>
              <w:right w:val="single" w:color="auto" w:sz="4" w:space="0"/>
            </w:tcBorders>
            <w:noWrap w:val="0"/>
            <w:vAlign w:val="center"/>
          </w:tcPr>
          <w:p w14:paraId="1723A894">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宋体" w:hAnsi="宋体" w:eastAsia="宋体" w:cs="宋体"/>
                <w:kern w:val="0"/>
                <w:sz w:val="21"/>
                <w:lang w:val="en-US" w:eastAsia="zh-CN"/>
              </w:rPr>
            </w:pPr>
            <w:r>
              <w:rPr>
                <w:rFonts w:hint="eastAsia" w:ascii="宋体" w:hAnsi="宋体" w:eastAsia="宋体" w:cs="宋体"/>
                <w:kern w:val="0"/>
                <w:sz w:val="21"/>
                <w:lang w:val="en-US" w:eastAsia="zh-CN"/>
              </w:rPr>
              <w:t>10</w:t>
            </w:r>
          </w:p>
        </w:tc>
        <w:tc>
          <w:tcPr>
            <w:tcW w:w="4123" w:type="dxa"/>
            <w:tcBorders>
              <w:top w:val="nil"/>
              <w:left w:val="nil"/>
              <w:bottom w:val="single" w:color="auto" w:sz="4" w:space="0"/>
              <w:right w:val="single" w:color="auto" w:sz="4" w:space="0"/>
            </w:tcBorders>
            <w:noWrap w:val="0"/>
            <w:vAlign w:val="center"/>
          </w:tcPr>
          <w:p w14:paraId="191F8767">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报告未能真实反映检测/检查结果，对问题未提出有效的解决建议和方案。</w:t>
            </w:r>
          </w:p>
        </w:tc>
        <w:tc>
          <w:tcPr>
            <w:tcW w:w="1535" w:type="dxa"/>
            <w:tcBorders>
              <w:top w:val="nil"/>
              <w:left w:val="nil"/>
              <w:bottom w:val="single" w:color="auto" w:sz="4" w:space="0"/>
              <w:right w:val="single" w:color="auto" w:sz="4" w:space="0"/>
            </w:tcBorders>
            <w:noWrap w:val="0"/>
            <w:vAlign w:val="center"/>
          </w:tcPr>
          <w:p w14:paraId="1186083D">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r>
              <w:rPr>
                <w:rFonts w:hint="eastAsia" w:ascii="宋体" w:hAnsi="宋体" w:eastAsia="宋体" w:cs="宋体"/>
                <w:kern w:val="0"/>
                <w:sz w:val="21"/>
                <w:szCs w:val="22"/>
              </w:rPr>
              <w:t>每次扣</w:t>
            </w:r>
            <w:r>
              <w:rPr>
                <w:rFonts w:hint="eastAsia" w:ascii="宋体" w:hAnsi="宋体" w:eastAsia="宋体" w:cs="宋体"/>
                <w:kern w:val="0"/>
                <w:sz w:val="21"/>
                <w:szCs w:val="22"/>
                <w:lang w:val="en-US" w:eastAsia="zh-CN"/>
              </w:rPr>
              <w:t>2</w:t>
            </w:r>
            <w:r>
              <w:rPr>
                <w:rFonts w:hint="eastAsia" w:ascii="宋体" w:hAnsi="宋体" w:eastAsia="宋体" w:cs="宋体"/>
                <w:kern w:val="0"/>
                <w:sz w:val="21"/>
                <w:szCs w:val="22"/>
              </w:rPr>
              <w:t>分</w:t>
            </w:r>
          </w:p>
        </w:tc>
        <w:tc>
          <w:tcPr>
            <w:tcW w:w="1327" w:type="dxa"/>
            <w:tcBorders>
              <w:top w:val="nil"/>
              <w:left w:val="nil"/>
              <w:bottom w:val="single" w:color="auto" w:sz="4" w:space="0"/>
              <w:right w:val="single" w:color="auto" w:sz="4" w:space="0"/>
            </w:tcBorders>
            <w:noWrap w:val="0"/>
            <w:vAlign w:val="center"/>
          </w:tcPr>
          <w:p w14:paraId="784D1EC9">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c>
          <w:tcPr>
            <w:tcW w:w="756" w:type="dxa"/>
            <w:tcBorders>
              <w:top w:val="nil"/>
              <w:left w:val="nil"/>
              <w:bottom w:val="single" w:color="auto" w:sz="4" w:space="0"/>
              <w:right w:val="single" w:color="auto" w:sz="4" w:space="0"/>
            </w:tcBorders>
            <w:noWrap w:val="0"/>
            <w:vAlign w:val="center"/>
          </w:tcPr>
          <w:p w14:paraId="334DAED4">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c>
          <w:tcPr>
            <w:tcW w:w="897" w:type="dxa"/>
            <w:tcBorders>
              <w:top w:val="nil"/>
              <w:left w:val="nil"/>
              <w:bottom w:val="single" w:color="auto" w:sz="4" w:space="0"/>
              <w:right w:val="single" w:color="auto" w:sz="4" w:space="0"/>
            </w:tcBorders>
            <w:noWrap w:val="0"/>
            <w:vAlign w:val="center"/>
          </w:tcPr>
          <w:p w14:paraId="42E5CF65">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r>
      <w:tr w14:paraId="44D9D41D">
        <w:tblPrEx>
          <w:tblCellMar>
            <w:top w:w="0" w:type="dxa"/>
            <w:left w:w="108" w:type="dxa"/>
            <w:bottom w:w="0" w:type="dxa"/>
            <w:right w:w="108" w:type="dxa"/>
          </w:tblCellMar>
        </w:tblPrEx>
        <w:trPr>
          <w:trHeight w:val="0" w:hRule="atLeast"/>
        </w:trPr>
        <w:tc>
          <w:tcPr>
            <w:tcW w:w="1324" w:type="dxa"/>
            <w:tcBorders>
              <w:top w:val="single" w:color="auto" w:sz="4" w:space="0"/>
              <w:left w:val="single" w:color="auto" w:sz="4" w:space="0"/>
              <w:bottom w:val="single" w:color="auto" w:sz="4" w:space="0"/>
              <w:right w:val="single" w:color="auto" w:sz="4" w:space="0"/>
            </w:tcBorders>
            <w:noWrap/>
            <w:vAlign w:val="center"/>
          </w:tcPr>
          <w:p w14:paraId="4AD86AC4">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kern w:val="0"/>
                <w:sz w:val="21"/>
              </w:rPr>
            </w:pPr>
            <w:r>
              <w:rPr>
                <w:rFonts w:hint="eastAsia" w:ascii="宋体" w:hAnsi="宋体" w:cs="宋体"/>
                <w:kern w:val="0"/>
                <w:sz w:val="24"/>
              </w:rPr>
              <w:t>扣分总计</w:t>
            </w:r>
          </w:p>
        </w:tc>
        <w:tc>
          <w:tcPr>
            <w:tcW w:w="897" w:type="dxa"/>
            <w:gridSpan w:val="5"/>
            <w:tcBorders>
              <w:top w:val="single" w:color="auto" w:sz="4" w:space="0"/>
              <w:left w:val="nil"/>
              <w:bottom w:val="single" w:color="auto" w:sz="4" w:space="0"/>
              <w:right w:val="single" w:color="auto" w:sz="4" w:space="0"/>
            </w:tcBorders>
            <w:noWrap w:val="0"/>
            <w:vAlign w:val="center"/>
          </w:tcPr>
          <w:p w14:paraId="227F053A">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kern w:val="0"/>
                <w:sz w:val="21"/>
                <w:szCs w:val="20"/>
              </w:rPr>
            </w:pPr>
          </w:p>
        </w:tc>
      </w:tr>
      <w:tr w14:paraId="3E17114C">
        <w:tblPrEx>
          <w:tblCellMar>
            <w:top w:w="0" w:type="dxa"/>
            <w:left w:w="108" w:type="dxa"/>
            <w:bottom w:w="0" w:type="dxa"/>
            <w:right w:w="108" w:type="dxa"/>
          </w:tblCellMar>
        </w:tblPrEx>
        <w:trPr>
          <w:trHeight w:val="0" w:hRule="atLeast"/>
        </w:trPr>
        <w:tc>
          <w:tcPr>
            <w:tcW w:w="1324" w:type="dxa"/>
            <w:tcBorders>
              <w:top w:val="single" w:color="auto" w:sz="4" w:space="0"/>
              <w:left w:val="single" w:color="auto" w:sz="4" w:space="0"/>
              <w:bottom w:val="single" w:color="auto" w:sz="4" w:space="0"/>
              <w:right w:val="single" w:color="auto" w:sz="4" w:space="0"/>
            </w:tcBorders>
            <w:noWrap/>
            <w:vAlign w:val="center"/>
          </w:tcPr>
          <w:p w14:paraId="62332288">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cs="宋体"/>
                <w:kern w:val="0"/>
                <w:sz w:val="24"/>
              </w:rPr>
            </w:pPr>
            <w:r>
              <w:rPr>
                <w:rFonts w:hint="eastAsia" w:ascii="宋体" w:hAnsi="宋体" w:cs="宋体"/>
                <w:kern w:val="0"/>
                <w:sz w:val="24"/>
              </w:rPr>
              <w:t>考核总分</w:t>
            </w:r>
          </w:p>
        </w:tc>
        <w:tc>
          <w:tcPr>
            <w:tcW w:w="897" w:type="dxa"/>
            <w:gridSpan w:val="5"/>
            <w:tcBorders>
              <w:top w:val="single" w:color="auto" w:sz="4" w:space="0"/>
              <w:left w:val="nil"/>
              <w:bottom w:val="single" w:color="auto" w:sz="4" w:space="0"/>
              <w:right w:val="single" w:color="auto" w:sz="4" w:space="0"/>
            </w:tcBorders>
            <w:noWrap w:val="0"/>
            <w:vAlign w:val="center"/>
          </w:tcPr>
          <w:p w14:paraId="22C4943B">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cs="宋体"/>
                <w:kern w:val="0"/>
                <w:sz w:val="20"/>
                <w:szCs w:val="20"/>
              </w:rPr>
            </w:pPr>
          </w:p>
        </w:tc>
      </w:tr>
      <w:tr w14:paraId="0FFC3C6C">
        <w:tblPrEx>
          <w:tblCellMar>
            <w:top w:w="0" w:type="dxa"/>
            <w:left w:w="108" w:type="dxa"/>
            <w:bottom w:w="0" w:type="dxa"/>
            <w:right w:w="108" w:type="dxa"/>
          </w:tblCellMar>
        </w:tblPrEx>
        <w:trPr>
          <w:trHeight w:val="0" w:hRule="atLeast"/>
        </w:trPr>
        <w:tc>
          <w:tcPr>
            <w:tcW w:w="897" w:type="dxa"/>
            <w:gridSpan w:val="6"/>
            <w:tcBorders>
              <w:top w:val="single" w:color="auto" w:sz="4" w:space="0"/>
              <w:left w:val="single" w:color="auto" w:sz="4" w:space="0"/>
              <w:bottom w:val="single" w:color="auto" w:sz="4" w:space="0"/>
              <w:right w:val="single" w:color="auto" w:sz="4" w:space="0"/>
            </w:tcBorders>
            <w:noWrap w:val="0"/>
            <w:vAlign w:val="center"/>
          </w:tcPr>
          <w:p w14:paraId="7C8CB1DA">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cs="宋体"/>
                <w:kern w:val="0"/>
                <w:sz w:val="24"/>
              </w:rPr>
            </w:pPr>
            <w:r>
              <w:rPr>
                <w:rFonts w:hint="eastAsia" w:ascii="宋体" w:hAnsi="宋体" w:cs="宋体"/>
                <w:kern w:val="0"/>
                <w:sz w:val="24"/>
              </w:rPr>
              <w:t>考核周期：         年      月      日  至            年      月        日</w:t>
            </w:r>
          </w:p>
        </w:tc>
      </w:tr>
      <w:tr w14:paraId="1A31AD97">
        <w:tblPrEx>
          <w:tblCellMar>
            <w:top w:w="0" w:type="dxa"/>
            <w:left w:w="108" w:type="dxa"/>
            <w:bottom w:w="0" w:type="dxa"/>
            <w:right w:w="108" w:type="dxa"/>
          </w:tblCellMar>
        </w:tblPrEx>
        <w:trPr>
          <w:trHeight w:val="0" w:hRule="atLeast"/>
        </w:trPr>
        <w:tc>
          <w:tcPr>
            <w:tcW w:w="897" w:type="dxa"/>
            <w:gridSpan w:val="6"/>
            <w:tcBorders>
              <w:top w:val="single" w:color="auto" w:sz="4" w:space="0"/>
              <w:left w:val="single" w:color="auto" w:sz="4" w:space="0"/>
              <w:bottom w:val="single" w:color="auto" w:sz="4" w:space="0"/>
              <w:right w:val="single" w:color="auto" w:sz="4" w:space="0"/>
            </w:tcBorders>
            <w:noWrap w:val="0"/>
            <w:vAlign w:val="center"/>
          </w:tcPr>
          <w:p w14:paraId="4168E4FD">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kern w:val="0"/>
                <w:sz w:val="24"/>
                <w:lang w:eastAsia="zh-CN"/>
              </w:rPr>
            </w:pPr>
            <w:r>
              <w:rPr>
                <w:rFonts w:hint="eastAsia" w:ascii="宋体" w:hAnsi="宋体" w:cs="宋体"/>
                <w:kern w:val="0"/>
                <w:sz w:val="24"/>
                <w:lang w:val="en-US" w:eastAsia="zh-CN"/>
              </w:rPr>
              <w:t>备注：</w:t>
            </w:r>
          </w:p>
        </w:tc>
      </w:tr>
      <w:tr w14:paraId="18364AC4">
        <w:tblPrEx>
          <w:tblCellMar>
            <w:top w:w="0" w:type="dxa"/>
            <w:left w:w="108" w:type="dxa"/>
            <w:bottom w:w="0" w:type="dxa"/>
            <w:right w:w="108" w:type="dxa"/>
          </w:tblCellMar>
        </w:tblPrEx>
        <w:trPr>
          <w:trHeight w:val="312" w:hRule="atLeast"/>
        </w:trPr>
        <w:tc>
          <w:tcPr>
            <w:tcW w:w="897" w:type="dxa"/>
            <w:gridSpan w:val="6"/>
            <w:vMerge w:val="restart"/>
            <w:tcBorders>
              <w:top w:val="single" w:color="auto" w:sz="4" w:space="0"/>
              <w:left w:val="single" w:color="auto" w:sz="4" w:space="0"/>
              <w:bottom w:val="single" w:color="auto" w:sz="4" w:space="0"/>
              <w:right w:val="single" w:color="auto" w:sz="4" w:space="0"/>
            </w:tcBorders>
            <w:noWrap w:val="0"/>
            <w:vAlign w:val="center"/>
          </w:tcPr>
          <w:p w14:paraId="1B08EA13">
            <w:pPr>
              <w:keepNext w:val="0"/>
              <w:keepLines w:val="0"/>
              <w:widowControl/>
              <w:suppressLineNumbers w:val="0"/>
              <w:spacing w:before="0" w:beforeAutospacing="0" w:after="0" w:afterAutospacing="0" w:line="500" w:lineRule="exact"/>
              <w:ind w:left="0" w:right="0"/>
              <w:jc w:val="left"/>
              <w:rPr>
                <w:rFonts w:hint="default" w:ascii="宋体" w:hAnsi="宋体" w:cs="宋体"/>
                <w:kern w:val="0"/>
                <w:sz w:val="24"/>
              </w:rPr>
            </w:pPr>
            <w:r>
              <w:rPr>
                <w:rFonts w:hint="eastAsia" w:ascii="宋体" w:hAnsi="宋体" w:cs="宋体"/>
                <w:b/>
                <w:bCs/>
                <w:kern w:val="0"/>
                <w:sz w:val="24"/>
              </w:rPr>
              <w:t>备注：</w:t>
            </w:r>
            <w:r>
              <w:rPr>
                <w:rFonts w:hint="eastAsia" w:ascii="宋体" w:hAnsi="宋体" w:cs="宋体"/>
                <w:kern w:val="0"/>
                <w:sz w:val="24"/>
              </w:rPr>
              <w:t>每</w:t>
            </w:r>
            <w:r>
              <w:rPr>
                <w:rFonts w:hint="eastAsia" w:ascii="宋体" w:hAnsi="宋体" w:cs="宋体"/>
                <w:kern w:val="0"/>
                <w:sz w:val="24"/>
                <w:lang w:val="en-US" w:eastAsia="zh-CN"/>
              </w:rPr>
              <w:t>下季度</w:t>
            </w:r>
            <w:r>
              <w:rPr>
                <w:rFonts w:hint="eastAsia" w:ascii="宋体" w:hAnsi="宋体" w:cs="宋体"/>
                <w:kern w:val="0"/>
                <w:sz w:val="24"/>
              </w:rPr>
              <w:t>双方根据评分表采取百分制对</w:t>
            </w:r>
            <w:r>
              <w:rPr>
                <w:rFonts w:hint="eastAsia" w:ascii="宋体" w:hAnsi="宋体" w:cs="宋体"/>
                <w:kern w:val="0"/>
                <w:sz w:val="24"/>
                <w:lang w:eastAsia="zh-CN"/>
              </w:rPr>
              <w:t>乙方消防</w:t>
            </w:r>
            <w:r>
              <w:rPr>
                <w:rFonts w:hint="eastAsia" w:ascii="宋体" w:hAnsi="宋体" w:cs="宋体"/>
                <w:kern w:val="0"/>
                <w:sz w:val="24"/>
              </w:rPr>
              <w:t>维保质量作出总体考核评估。考核标准如下：                                                                               1.按满分100分，每</w:t>
            </w:r>
            <w:r>
              <w:rPr>
                <w:rFonts w:hint="eastAsia" w:ascii="宋体" w:hAnsi="宋体" w:cs="宋体"/>
                <w:kern w:val="0"/>
                <w:sz w:val="24"/>
                <w:lang w:val="en-US" w:eastAsia="zh-CN"/>
              </w:rPr>
              <w:t>季度</w:t>
            </w:r>
            <w:r>
              <w:rPr>
                <w:rFonts w:hint="eastAsia" w:ascii="宋体" w:hAnsi="宋体" w:cs="宋体"/>
                <w:kern w:val="0"/>
                <w:sz w:val="24"/>
              </w:rPr>
              <w:t>1次考核分值达</w:t>
            </w:r>
            <w:r>
              <w:rPr>
                <w:rFonts w:hint="eastAsia" w:ascii="宋体" w:hAnsi="宋体" w:cs="宋体"/>
                <w:kern w:val="0"/>
                <w:sz w:val="24"/>
                <w:lang w:val="en-US" w:eastAsia="zh-CN"/>
              </w:rPr>
              <w:t>9</w:t>
            </w:r>
            <w:r>
              <w:rPr>
                <w:rFonts w:hint="eastAsia" w:ascii="宋体" w:hAnsi="宋体" w:cs="宋体"/>
                <w:kern w:val="0"/>
                <w:sz w:val="24"/>
              </w:rPr>
              <w:t>0分以上(含</w:t>
            </w:r>
            <w:r>
              <w:rPr>
                <w:rFonts w:hint="eastAsia" w:ascii="宋体" w:hAnsi="宋体" w:cs="宋体"/>
                <w:kern w:val="0"/>
                <w:sz w:val="24"/>
                <w:lang w:val="en-US" w:eastAsia="zh-CN"/>
              </w:rPr>
              <w:t>90</w:t>
            </w:r>
            <w:r>
              <w:rPr>
                <w:rFonts w:hint="eastAsia" w:ascii="宋体" w:hAnsi="宋体" w:cs="宋体"/>
                <w:kern w:val="0"/>
                <w:sz w:val="24"/>
              </w:rPr>
              <w:t>分)，表示服务质量达标，可以全额支付费用。                                                                                                                             2.按满分100分，每</w:t>
            </w:r>
            <w:r>
              <w:rPr>
                <w:rFonts w:hint="eastAsia" w:ascii="宋体" w:hAnsi="宋体" w:cs="宋体"/>
                <w:kern w:val="0"/>
                <w:sz w:val="24"/>
                <w:lang w:val="en-US" w:eastAsia="zh-CN"/>
              </w:rPr>
              <w:t>季度</w:t>
            </w:r>
            <w:r>
              <w:rPr>
                <w:rFonts w:hint="eastAsia" w:ascii="宋体" w:hAnsi="宋体" w:cs="宋体"/>
                <w:kern w:val="0"/>
                <w:sz w:val="24"/>
              </w:rPr>
              <w:t>1次考核分值</w:t>
            </w:r>
            <w:r>
              <w:rPr>
                <w:rFonts w:hint="eastAsia" w:ascii="宋体" w:hAnsi="宋体" w:cs="宋体"/>
                <w:kern w:val="0"/>
                <w:sz w:val="24"/>
                <w:lang w:val="en-US" w:eastAsia="zh-CN"/>
              </w:rPr>
              <w:t>89分（含89分）至70分（含70分）</w:t>
            </w:r>
            <w:r>
              <w:rPr>
                <w:rFonts w:hint="eastAsia" w:ascii="宋体" w:hAnsi="宋体" w:cs="宋体"/>
                <w:kern w:val="0"/>
                <w:sz w:val="24"/>
              </w:rPr>
              <w:t>，表示服务质量达不到要求，每分按200元扣减费用，直至扣完当</w:t>
            </w:r>
            <w:r>
              <w:rPr>
                <w:rFonts w:hint="eastAsia" w:ascii="宋体" w:hAnsi="宋体" w:cs="宋体"/>
                <w:kern w:val="0"/>
                <w:sz w:val="24"/>
                <w:lang w:eastAsia="zh-CN"/>
              </w:rPr>
              <w:t>季</w:t>
            </w:r>
            <w:r>
              <w:rPr>
                <w:rFonts w:hint="eastAsia" w:ascii="宋体" w:hAnsi="宋体" w:cs="宋体"/>
                <w:kern w:val="0"/>
                <w:sz w:val="24"/>
              </w:rPr>
              <w:t>的维护费用为止。</w:t>
            </w:r>
          </w:p>
          <w:p w14:paraId="1CA4523F">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宋体" w:hAnsi="宋体" w:cs="宋体"/>
                <w:kern w:val="0"/>
                <w:sz w:val="24"/>
              </w:rPr>
            </w:pPr>
            <w:r>
              <w:rPr>
                <w:rFonts w:hint="eastAsia" w:ascii="宋体" w:hAnsi="宋体" w:cs="宋体"/>
                <w:kern w:val="0"/>
                <w:sz w:val="24"/>
              </w:rPr>
              <w:t>3</w:t>
            </w:r>
            <w:r>
              <w:rPr>
                <w:rFonts w:hint="default" w:ascii="宋体" w:hAnsi="宋体" w:cs="宋体"/>
                <w:kern w:val="0"/>
                <w:sz w:val="24"/>
              </w:rPr>
              <w:t>.</w:t>
            </w:r>
            <w:r>
              <w:rPr>
                <w:rFonts w:hint="eastAsia" w:ascii="宋体" w:hAnsi="宋体" w:cs="宋体"/>
                <w:kern w:val="0"/>
                <w:sz w:val="24"/>
              </w:rPr>
              <w:t>按满分1</w:t>
            </w:r>
            <w:r>
              <w:rPr>
                <w:rFonts w:hint="default" w:ascii="宋体" w:hAnsi="宋体" w:cs="宋体"/>
                <w:kern w:val="0"/>
                <w:sz w:val="24"/>
              </w:rPr>
              <w:t>00</w:t>
            </w:r>
            <w:r>
              <w:rPr>
                <w:rFonts w:hint="eastAsia" w:ascii="宋体" w:hAnsi="宋体" w:cs="宋体"/>
                <w:kern w:val="0"/>
                <w:sz w:val="24"/>
                <w:lang w:eastAsia="zh-CN"/>
              </w:rPr>
              <w:t>分</w:t>
            </w:r>
            <w:r>
              <w:rPr>
                <w:rFonts w:hint="eastAsia" w:ascii="宋体" w:hAnsi="宋体" w:cs="宋体"/>
                <w:kern w:val="0"/>
                <w:sz w:val="24"/>
              </w:rPr>
              <w:t>，每</w:t>
            </w:r>
            <w:r>
              <w:rPr>
                <w:rFonts w:hint="eastAsia" w:ascii="宋体" w:hAnsi="宋体" w:cs="宋体"/>
                <w:kern w:val="0"/>
                <w:sz w:val="24"/>
                <w:lang w:val="en-US" w:eastAsia="zh-CN"/>
              </w:rPr>
              <w:t>季度</w:t>
            </w:r>
            <w:r>
              <w:rPr>
                <w:rFonts w:hint="eastAsia" w:ascii="宋体" w:hAnsi="宋体" w:cs="宋体"/>
                <w:kern w:val="0"/>
                <w:sz w:val="24"/>
              </w:rPr>
              <w:t>1次考核分值低于</w:t>
            </w:r>
            <w:r>
              <w:rPr>
                <w:rFonts w:hint="eastAsia" w:ascii="宋体" w:hAnsi="宋体" w:cs="宋体"/>
                <w:kern w:val="0"/>
                <w:sz w:val="24"/>
                <w:lang w:val="en-US" w:eastAsia="zh-CN"/>
              </w:rPr>
              <w:t>69分（含69分）</w:t>
            </w:r>
            <w:r>
              <w:rPr>
                <w:rFonts w:hint="eastAsia" w:ascii="宋体" w:hAnsi="宋体" w:cs="宋体"/>
                <w:kern w:val="0"/>
                <w:sz w:val="24"/>
              </w:rPr>
              <w:t>，表示服务质量严重不达标，扣减全部当</w:t>
            </w:r>
            <w:r>
              <w:rPr>
                <w:rFonts w:hint="eastAsia" w:ascii="宋体" w:hAnsi="宋体" w:cs="宋体"/>
                <w:kern w:val="0"/>
                <w:sz w:val="24"/>
                <w:lang w:val="en-US" w:eastAsia="zh-CN"/>
              </w:rPr>
              <w:t>季度</w:t>
            </w:r>
            <w:r>
              <w:rPr>
                <w:rFonts w:hint="eastAsia" w:ascii="宋体" w:hAnsi="宋体" w:cs="宋体"/>
                <w:kern w:val="0"/>
                <w:sz w:val="24"/>
              </w:rPr>
              <w:t>维护费，</w:t>
            </w:r>
            <w:r>
              <w:rPr>
                <w:rFonts w:hint="eastAsia" w:ascii="宋体" w:hAnsi="宋体" w:cs="宋体"/>
                <w:kern w:val="0"/>
                <w:sz w:val="24"/>
                <w:lang w:eastAsia="zh-CN"/>
              </w:rPr>
              <w:t>乙方</w:t>
            </w:r>
            <w:r>
              <w:rPr>
                <w:rFonts w:hint="eastAsia" w:ascii="宋体" w:hAnsi="宋体" w:cs="宋体"/>
                <w:kern w:val="0"/>
                <w:sz w:val="24"/>
              </w:rPr>
              <w:t>按照合同约定承担相应责任。</w:t>
            </w:r>
          </w:p>
        </w:tc>
      </w:tr>
      <w:tr w14:paraId="6665CD39">
        <w:tblPrEx>
          <w:tblCellMar>
            <w:top w:w="0" w:type="dxa"/>
            <w:left w:w="108" w:type="dxa"/>
            <w:bottom w:w="0" w:type="dxa"/>
            <w:right w:w="108" w:type="dxa"/>
          </w:tblCellMar>
        </w:tblPrEx>
        <w:trPr>
          <w:trHeight w:val="312" w:hRule="atLeast"/>
        </w:trPr>
        <w:tc>
          <w:tcPr>
            <w:tcW w:w="897" w:type="dxa"/>
            <w:gridSpan w:val="6"/>
            <w:vMerge w:val="continue"/>
            <w:tcBorders>
              <w:top w:val="single" w:color="auto" w:sz="4" w:space="0"/>
              <w:left w:val="single" w:color="auto" w:sz="4" w:space="0"/>
              <w:bottom w:val="single" w:color="auto" w:sz="4" w:space="0"/>
              <w:right w:val="single" w:color="auto" w:sz="4" w:space="0"/>
            </w:tcBorders>
            <w:noWrap w:val="0"/>
            <w:vAlign w:val="center"/>
          </w:tcPr>
          <w:p w14:paraId="051EB708">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宋体" w:hAnsi="宋体" w:cs="宋体"/>
                <w:b/>
                <w:bCs/>
                <w:kern w:val="0"/>
                <w:sz w:val="24"/>
              </w:rPr>
            </w:pPr>
          </w:p>
        </w:tc>
      </w:tr>
      <w:tr w14:paraId="66059DBA">
        <w:tblPrEx>
          <w:tblCellMar>
            <w:top w:w="0" w:type="dxa"/>
            <w:left w:w="108" w:type="dxa"/>
            <w:bottom w:w="0" w:type="dxa"/>
            <w:right w:w="108" w:type="dxa"/>
          </w:tblCellMar>
        </w:tblPrEx>
        <w:trPr>
          <w:trHeight w:val="312" w:hRule="atLeast"/>
        </w:trPr>
        <w:tc>
          <w:tcPr>
            <w:tcW w:w="897" w:type="dxa"/>
            <w:gridSpan w:val="6"/>
            <w:vMerge w:val="continue"/>
            <w:tcBorders>
              <w:top w:val="single" w:color="auto" w:sz="4" w:space="0"/>
              <w:left w:val="single" w:color="auto" w:sz="4" w:space="0"/>
              <w:bottom w:val="single" w:color="auto" w:sz="4" w:space="0"/>
              <w:right w:val="single" w:color="auto" w:sz="4" w:space="0"/>
            </w:tcBorders>
            <w:noWrap w:val="0"/>
            <w:vAlign w:val="center"/>
          </w:tcPr>
          <w:p w14:paraId="3CA2444E">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宋体" w:hAnsi="宋体" w:cs="宋体"/>
                <w:b/>
                <w:bCs/>
                <w:kern w:val="0"/>
                <w:sz w:val="24"/>
              </w:rPr>
            </w:pPr>
          </w:p>
        </w:tc>
      </w:tr>
      <w:tr w14:paraId="756BC97D">
        <w:tblPrEx>
          <w:tblCellMar>
            <w:top w:w="0" w:type="dxa"/>
            <w:left w:w="108" w:type="dxa"/>
            <w:bottom w:w="0" w:type="dxa"/>
            <w:right w:w="108" w:type="dxa"/>
          </w:tblCellMar>
        </w:tblPrEx>
        <w:trPr>
          <w:trHeight w:val="312" w:hRule="atLeast"/>
        </w:trPr>
        <w:tc>
          <w:tcPr>
            <w:tcW w:w="4123"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362BD301">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宋体" w:hAnsi="宋体" w:cs="宋体"/>
                <w:kern w:val="0"/>
                <w:sz w:val="24"/>
              </w:rPr>
            </w:pPr>
            <w:r>
              <w:rPr>
                <w:rFonts w:hint="eastAsia" w:ascii="宋体" w:hAnsi="宋体" w:cs="宋体"/>
                <w:kern w:val="0"/>
                <w:sz w:val="24"/>
              </w:rPr>
              <w:t>维保公司维保</w:t>
            </w:r>
            <w:r>
              <w:rPr>
                <w:rFonts w:hint="default" w:ascii="宋体" w:hAnsi="宋体" w:cs="宋体"/>
                <w:kern w:val="0"/>
                <w:sz w:val="24"/>
              </w:rPr>
              <w:t>人</w:t>
            </w:r>
            <w:r>
              <w:rPr>
                <w:rFonts w:hint="eastAsia" w:ascii="宋体" w:hAnsi="宋体" w:cs="宋体"/>
                <w:kern w:val="0"/>
                <w:sz w:val="24"/>
              </w:rPr>
              <w:t xml:space="preserve">签名：                                       </w:t>
            </w:r>
          </w:p>
        </w:tc>
        <w:tc>
          <w:tcPr>
            <w:tcW w:w="897" w:type="dxa"/>
            <w:gridSpan w:val="4"/>
            <w:vMerge w:val="restart"/>
            <w:tcBorders>
              <w:top w:val="single" w:color="auto" w:sz="4" w:space="0"/>
              <w:left w:val="single" w:color="auto" w:sz="4" w:space="0"/>
              <w:bottom w:val="single" w:color="auto" w:sz="4" w:space="0"/>
              <w:right w:val="single" w:color="auto" w:sz="4" w:space="0"/>
            </w:tcBorders>
            <w:noWrap/>
            <w:vAlign w:val="center"/>
          </w:tcPr>
          <w:p w14:paraId="26DFE348">
            <w:pPr>
              <w:keepNext w:val="0"/>
              <w:keepLines w:val="0"/>
              <w:widowControl/>
              <w:suppressLineNumbers w:val="0"/>
              <w:snapToGrid w:val="0"/>
              <w:spacing w:before="0" w:beforeAutospacing="0" w:after="0" w:afterAutospacing="0" w:line="240" w:lineRule="auto"/>
              <w:ind w:left="0" w:right="0"/>
              <w:jc w:val="left"/>
              <w:rPr>
                <w:rFonts w:hint="eastAsia" w:ascii="宋体" w:hAnsi="宋体" w:cs="宋体"/>
                <w:kern w:val="0"/>
                <w:sz w:val="24"/>
              </w:rPr>
            </w:pPr>
            <w:r>
              <w:rPr>
                <w:rFonts w:hint="eastAsia" w:ascii="宋体" w:hAnsi="宋体" w:cs="宋体"/>
                <w:kern w:val="0"/>
                <w:sz w:val="24"/>
              </w:rPr>
              <w:t>现场跟进人签名：</w:t>
            </w:r>
            <w:r>
              <w:rPr>
                <w:rFonts w:hint="eastAsia" w:ascii="宋体" w:hAnsi="宋体" w:cs="宋体"/>
                <w:kern w:val="0"/>
                <w:sz w:val="24"/>
              </w:rPr>
              <w:drawing>
                <wp:anchor distT="0" distB="0" distL="114300" distR="114300" simplePos="0" relativeHeight="251659264" behindDoc="0" locked="0" layoutInCell="1" allowOverlap="1">
                  <wp:simplePos x="0" y="0"/>
                  <wp:positionH relativeFrom="column">
                    <wp:posOffset>1514475</wp:posOffset>
                  </wp:positionH>
                  <wp:positionV relativeFrom="paragraph">
                    <wp:posOffset>0</wp:posOffset>
                  </wp:positionV>
                  <wp:extent cx="9525" cy="9525"/>
                  <wp:effectExtent l="0" t="0" r="0" b="0"/>
                  <wp:wrapNone/>
                  <wp:docPr id="5" name="Line 7"/>
                  <wp:cNvGraphicFramePr/>
                  <a:graphic xmlns:a="http://schemas.openxmlformats.org/drawingml/2006/main">
                    <a:graphicData uri="http://schemas.openxmlformats.org/drawingml/2006/picture">
                      <pic:pic xmlns:pic="http://schemas.openxmlformats.org/drawingml/2006/picture">
                        <pic:nvPicPr>
                          <pic:cNvPr id="5" name="Line 7"/>
                          <pic:cNvPicPr/>
                        </pic:nvPicPr>
                        <pic:blipFill>
                          <a:blip r:embed="rId7"/>
                          <a:stretch>
                            <a:fillRect/>
                          </a:stretch>
                        </pic:blipFill>
                        <pic:spPr>
                          <a:xfrm>
                            <a:off x="0" y="0"/>
                            <a:ext cx="9525" cy="9525"/>
                          </a:xfrm>
                          <a:prstGeom prst="rect">
                            <a:avLst/>
                          </a:prstGeom>
                          <a:noFill/>
                          <a:ln>
                            <a:noFill/>
                          </a:ln>
                        </pic:spPr>
                      </pic:pic>
                    </a:graphicData>
                  </a:graphic>
                </wp:anchor>
              </w:drawing>
            </w:r>
          </w:p>
        </w:tc>
      </w:tr>
      <w:tr w14:paraId="465BEB16">
        <w:tblPrEx>
          <w:tblCellMar>
            <w:top w:w="0" w:type="dxa"/>
            <w:left w:w="108" w:type="dxa"/>
            <w:bottom w:w="0" w:type="dxa"/>
            <w:right w:w="108" w:type="dxa"/>
          </w:tblCellMar>
        </w:tblPrEx>
        <w:trPr>
          <w:trHeight w:val="312" w:hRule="atLeast"/>
        </w:trPr>
        <w:tc>
          <w:tcPr>
            <w:tcW w:w="412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C293020">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宋体" w:hAnsi="宋体" w:cs="宋体"/>
                <w:kern w:val="0"/>
                <w:sz w:val="24"/>
              </w:rPr>
            </w:pPr>
          </w:p>
        </w:tc>
        <w:tc>
          <w:tcPr>
            <w:tcW w:w="897" w:type="dxa"/>
            <w:gridSpan w:val="4"/>
            <w:vMerge w:val="continue"/>
            <w:tcBorders>
              <w:top w:val="single" w:color="auto" w:sz="4" w:space="0"/>
              <w:left w:val="single" w:color="auto" w:sz="4" w:space="0"/>
              <w:bottom w:val="single" w:color="auto" w:sz="4" w:space="0"/>
              <w:right w:val="single" w:color="auto" w:sz="4" w:space="0"/>
            </w:tcBorders>
            <w:noWrap w:val="0"/>
            <w:vAlign w:val="center"/>
          </w:tcPr>
          <w:p w14:paraId="41C008DA">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宋体" w:hAnsi="宋体" w:cs="宋体"/>
                <w:kern w:val="0"/>
                <w:sz w:val="24"/>
              </w:rPr>
            </w:pPr>
          </w:p>
        </w:tc>
      </w:tr>
      <w:tr w14:paraId="3E8E6EF6">
        <w:tblPrEx>
          <w:tblCellMar>
            <w:top w:w="0" w:type="dxa"/>
            <w:left w:w="108" w:type="dxa"/>
            <w:bottom w:w="0" w:type="dxa"/>
            <w:right w:w="108" w:type="dxa"/>
          </w:tblCellMar>
        </w:tblPrEx>
        <w:trPr>
          <w:trHeight w:val="312" w:hRule="atLeast"/>
        </w:trPr>
        <w:tc>
          <w:tcPr>
            <w:tcW w:w="4123"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0331B210">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default" w:ascii="宋体" w:hAnsi="宋体" w:cs="宋体"/>
                <w:kern w:val="0"/>
                <w:sz w:val="24"/>
              </w:rPr>
            </w:pPr>
            <w:r>
              <w:rPr>
                <w:rFonts w:hint="eastAsia" w:ascii="宋体" w:hAnsi="宋体" w:cs="宋体"/>
                <w:kern w:val="0"/>
                <w:sz w:val="24"/>
                <w:lang w:val="en-US" w:eastAsia="zh-CN"/>
              </w:rPr>
              <w:t>日期：</w:t>
            </w:r>
            <w:r>
              <w:rPr>
                <w:rFonts w:hint="eastAsia" w:ascii="宋体" w:hAnsi="宋体" w:cs="宋体"/>
                <w:kern w:val="0"/>
                <w:sz w:val="24"/>
              </w:rPr>
              <w:t xml:space="preserve">                                       </w:t>
            </w:r>
          </w:p>
        </w:tc>
        <w:tc>
          <w:tcPr>
            <w:tcW w:w="897" w:type="dxa"/>
            <w:gridSpan w:val="4"/>
            <w:vMerge w:val="restart"/>
            <w:tcBorders>
              <w:top w:val="single" w:color="auto" w:sz="4" w:space="0"/>
              <w:left w:val="single" w:color="auto" w:sz="4" w:space="0"/>
              <w:bottom w:val="single" w:color="auto" w:sz="4" w:space="0"/>
              <w:right w:val="single" w:color="auto" w:sz="4" w:space="0"/>
            </w:tcBorders>
            <w:noWrap w:val="0"/>
            <w:vAlign w:val="center"/>
          </w:tcPr>
          <w:p w14:paraId="4471ED72">
            <w:pPr>
              <w:keepNext w:val="0"/>
              <w:keepLines w:val="0"/>
              <w:widowControl/>
              <w:suppressLineNumbers w:val="0"/>
              <w:snapToGrid w:val="0"/>
              <w:spacing w:before="0" w:beforeAutospacing="0" w:after="0" w:afterAutospacing="0" w:line="240" w:lineRule="auto"/>
              <w:ind w:left="0" w:leftChars="0" w:right="0" w:rightChars="0" w:firstLine="0" w:firstLineChars="0"/>
              <w:jc w:val="both"/>
              <w:rPr>
                <w:rFonts w:hint="eastAsia" w:ascii="宋体" w:hAnsi="宋体" w:cs="宋体"/>
                <w:kern w:val="0"/>
                <w:sz w:val="24"/>
              </w:rPr>
            </w:pPr>
            <w:r>
              <w:rPr>
                <w:rFonts w:hint="eastAsia" w:ascii="宋体" w:hAnsi="宋体" w:cs="宋体"/>
                <w:kern w:val="0"/>
                <w:sz w:val="24"/>
                <w:lang w:val="en-US" w:eastAsia="zh-CN"/>
              </w:rPr>
              <w:t>日期</w:t>
            </w:r>
            <w:r>
              <w:rPr>
                <w:rFonts w:hint="eastAsia" w:ascii="宋体" w:hAnsi="宋体" w:cs="宋体"/>
                <w:kern w:val="0"/>
                <w:sz w:val="24"/>
              </w:rPr>
              <w:t xml:space="preserve">：   </w:t>
            </w:r>
          </w:p>
        </w:tc>
      </w:tr>
      <w:tr w14:paraId="302C7505">
        <w:tblPrEx>
          <w:tblCellMar>
            <w:top w:w="0" w:type="dxa"/>
            <w:left w:w="108" w:type="dxa"/>
            <w:bottom w:w="0" w:type="dxa"/>
            <w:right w:w="108" w:type="dxa"/>
          </w:tblCellMar>
        </w:tblPrEx>
        <w:trPr>
          <w:trHeight w:val="312" w:hRule="atLeast"/>
        </w:trPr>
        <w:tc>
          <w:tcPr>
            <w:tcW w:w="412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44A0FC2">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宋体" w:hAnsi="宋体" w:cs="宋体"/>
                <w:kern w:val="0"/>
                <w:sz w:val="24"/>
              </w:rPr>
            </w:pPr>
          </w:p>
        </w:tc>
        <w:tc>
          <w:tcPr>
            <w:tcW w:w="897" w:type="dxa"/>
            <w:gridSpan w:val="4"/>
            <w:vMerge w:val="continue"/>
            <w:tcBorders>
              <w:top w:val="single" w:color="auto" w:sz="4" w:space="0"/>
              <w:left w:val="single" w:color="auto" w:sz="4" w:space="0"/>
              <w:bottom w:val="single" w:color="auto" w:sz="4" w:space="0"/>
              <w:right w:val="single" w:color="auto" w:sz="4" w:space="0"/>
            </w:tcBorders>
            <w:noWrap w:val="0"/>
            <w:vAlign w:val="center"/>
          </w:tcPr>
          <w:p w14:paraId="7F446BCB">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宋体" w:hAnsi="宋体" w:cs="宋体"/>
                <w:kern w:val="0"/>
                <w:sz w:val="24"/>
              </w:rPr>
            </w:pPr>
          </w:p>
        </w:tc>
      </w:tr>
    </w:tbl>
    <w:p w14:paraId="2CBE06FE">
      <w:pPr>
        <w:pStyle w:val="4"/>
        <w:rPr>
          <w:rFonts w:hint="default"/>
          <w:lang w:val="en-US" w:eastAsia="zh-CN"/>
        </w:rPr>
      </w:pPr>
    </w:p>
    <w:p w14:paraId="652A087A">
      <w:pPr>
        <w:rPr>
          <w:rFonts w:ascii="宋体" w:hAnsi="宋体" w:eastAsia="宋体" w:cs="宋体"/>
          <w:b/>
          <w:bCs/>
          <w:spacing w:val="-1"/>
          <w:sz w:val="24"/>
          <w:szCs w:val="24"/>
        </w:rPr>
      </w:pPr>
      <w:r>
        <w:rPr>
          <w:rFonts w:ascii="宋体" w:hAnsi="宋体" w:eastAsia="宋体" w:cs="宋体"/>
          <w:b/>
          <w:bCs/>
          <w:spacing w:val="-1"/>
          <w:sz w:val="24"/>
          <w:szCs w:val="24"/>
        </w:rPr>
        <w:br w:type="page"/>
      </w:r>
    </w:p>
    <w:p w14:paraId="23B5DF7A">
      <w:pPr>
        <w:numPr>
          <w:ilvl w:val="0"/>
          <w:numId w:val="0"/>
        </w:numPr>
        <w:jc w:val="center"/>
        <w:rPr>
          <w:rFonts w:hint="eastAsia"/>
          <w:b/>
          <w:bCs/>
          <w:sz w:val="28"/>
          <w:szCs w:val="28"/>
          <w:lang w:val="en-US" w:eastAsia="zh-CN"/>
        </w:rPr>
      </w:pPr>
      <w:r>
        <w:rPr>
          <w:rFonts w:hint="eastAsia"/>
          <w:b/>
          <w:bCs/>
          <w:sz w:val="28"/>
          <w:szCs w:val="28"/>
          <w:lang w:val="en-US" w:eastAsia="zh-CN"/>
        </w:rPr>
        <w:t>附件三：乙方营业执照</w:t>
      </w:r>
    </w:p>
    <w:p w14:paraId="05C6D0EB">
      <w:pPr>
        <w:rPr>
          <w:rFonts w:hint="eastAsia"/>
          <w:b/>
          <w:bCs/>
          <w:sz w:val="28"/>
          <w:szCs w:val="28"/>
          <w:lang w:val="en-US" w:eastAsia="zh-CN"/>
        </w:rPr>
      </w:pPr>
      <w:r>
        <w:rPr>
          <w:rFonts w:hint="eastAsia"/>
          <w:b/>
          <w:bCs/>
          <w:sz w:val="28"/>
          <w:szCs w:val="28"/>
          <w:lang w:val="en-US" w:eastAsia="zh-CN"/>
        </w:rPr>
        <w:br w:type="page"/>
      </w:r>
    </w:p>
    <w:p w14:paraId="01830D46">
      <w:pPr>
        <w:numPr>
          <w:ilvl w:val="0"/>
          <w:numId w:val="0"/>
        </w:numPr>
        <w:jc w:val="center"/>
        <w:rPr>
          <w:rFonts w:hint="eastAsia"/>
          <w:b/>
          <w:bCs/>
          <w:sz w:val="28"/>
          <w:szCs w:val="28"/>
          <w:lang w:val="en-US" w:eastAsia="zh-CN"/>
        </w:rPr>
      </w:pPr>
      <w:r>
        <w:rPr>
          <w:rFonts w:hint="eastAsia"/>
          <w:b/>
          <w:bCs/>
          <w:sz w:val="28"/>
          <w:szCs w:val="28"/>
          <w:lang w:val="en-US" w:eastAsia="zh-CN"/>
        </w:rPr>
        <w:t>附件四：乙方公司资质</w:t>
      </w:r>
    </w:p>
    <w:p w14:paraId="43595701">
      <w:pPr>
        <w:rPr>
          <w:rFonts w:hint="eastAsia"/>
          <w:b/>
          <w:bCs/>
          <w:sz w:val="28"/>
          <w:szCs w:val="28"/>
          <w:lang w:val="en-US" w:eastAsia="zh-CN"/>
        </w:rPr>
      </w:pPr>
      <w:r>
        <w:rPr>
          <w:rFonts w:hint="eastAsia"/>
          <w:b/>
          <w:bCs/>
          <w:sz w:val="28"/>
          <w:szCs w:val="28"/>
          <w:lang w:val="en-US" w:eastAsia="zh-CN"/>
        </w:rPr>
        <w:br w:type="page"/>
      </w:r>
    </w:p>
    <w:p w14:paraId="52F56BED">
      <w:pPr>
        <w:numPr>
          <w:ilvl w:val="0"/>
          <w:numId w:val="0"/>
        </w:numPr>
        <w:jc w:val="center"/>
        <w:rPr>
          <w:rFonts w:hint="default"/>
          <w:b/>
          <w:bCs/>
          <w:sz w:val="28"/>
          <w:szCs w:val="28"/>
          <w:lang w:val="en-US" w:eastAsia="zh-CN"/>
        </w:rPr>
      </w:pPr>
      <w:r>
        <w:rPr>
          <w:rFonts w:hint="eastAsia"/>
          <w:b/>
          <w:bCs/>
          <w:sz w:val="28"/>
          <w:szCs w:val="28"/>
          <w:lang w:val="en-US" w:eastAsia="zh-CN"/>
        </w:rPr>
        <w:t>附件五：报价清单</w:t>
      </w:r>
    </w:p>
    <w:p w14:paraId="69F3798C">
      <w:pPr>
        <w:numPr>
          <w:ilvl w:val="0"/>
          <w:numId w:val="0"/>
        </w:numPr>
        <w:jc w:val="center"/>
        <w:rPr>
          <w:rFonts w:hint="default" w:eastAsia="宋体" w:cs="Times New Roman"/>
          <w:b/>
          <w:bCs/>
          <w:sz w:val="28"/>
          <w:szCs w:val="28"/>
          <w:lang w:val="en-US" w:eastAsia="zh-CN"/>
        </w:rPr>
      </w:pPr>
    </w:p>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_GB2312">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62303246"/>
    </w:sdtPr>
    <w:sdtContent>
      <w:sdt>
        <w:sdtPr>
          <w:id w:val="1728636285"/>
        </w:sdtPr>
        <w:sdtContent>
          <w:p w14:paraId="1D4F95D9">
            <w:pPr>
              <w:pStyle w:val="26"/>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44</w:t>
            </w:r>
            <w:r>
              <w:rPr>
                <w:b/>
                <w:bCs/>
                <w:sz w:val="24"/>
                <w:szCs w:val="24"/>
              </w:rPr>
              <w:fldChar w:fldCharType="end"/>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2EE4D">
    <w:pPr>
      <w:pStyle w:val="27"/>
      <w:pBdr>
        <w:bottom w:val="none" w:color="auto" w:sz="0" w:space="1"/>
      </w:pBdr>
    </w:pP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E392A">
    <w:pPr>
      <w:pStyle w:val="27"/>
      <w:pBdr>
        <w:bottom w:val="none" w:color="auto" w:sz="0" w:space="1"/>
      </w:pBdr>
      <w:rPr>
        <w:sz w:val="22"/>
        <w:szCs w:val="22"/>
      </w:rPr>
    </w:pPr>
    <w:r>
      <w:rPr>
        <w:rFonts w:hint="eastAsia"/>
        <w:sz w:val="21"/>
        <w:szCs w:val="21"/>
      </w:rPr>
      <w:t xml:space="preserve">                          </w:t>
    </w:r>
    <w:r>
      <w:rPr>
        <w:rFonts w:hint="eastAsia"/>
        <w:sz w:val="22"/>
        <w:szCs w:val="22"/>
      </w:rPr>
      <w:t xml:space="preserve"> 合同编号：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C1B8DF"/>
    <w:multiLevelType w:val="singleLevel"/>
    <w:tmpl w:val="8DC1B8DF"/>
    <w:lvl w:ilvl="0" w:tentative="0">
      <w:start w:val="1"/>
      <w:numFmt w:val="decimal"/>
      <w:suff w:val="nothing"/>
      <w:lvlText w:val="%1．"/>
      <w:lvlJc w:val="left"/>
      <w:pPr>
        <w:ind w:left="0" w:firstLine="400"/>
      </w:pPr>
      <w:rPr>
        <w:rFonts w:hint="default"/>
      </w:rPr>
    </w:lvl>
  </w:abstractNum>
  <w:abstractNum w:abstractNumId="1">
    <w:nsid w:val="C76174C0"/>
    <w:multiLevelType w:val="singleLevel"/>
    <w:tmpl w:val="C76174C0"/>
    <w:lvl w:ilvl="0" w:tentative="0">
      <w:start w:val="1"/>
      <w:numFmt w:val="decimal"/>
      <w:suff w:val="nothing"/>
      <w:lvlText w:val="%1．"/>
      <w:lvlJc w:val="left"/>
      <w:pPr>
        <w:ind w:left="0" w:firstLine="400"/>
      </w:pPr>
      <w:rPr>
        <w:rFonts w:hint="default"/>
      </w:rPr>
    </w:lvl>
  </w:abstractNum>
  <w:abstractNum w:abstractNumId="2">
    <w:nsid w:val="CBB940BF"/>
    <w:multiLevelType w:val="singleLevel"/>
    <w:tmpl w:val="CBB940BF"/>
    <w:lvl w:ilvl="0" w:tentative="0">
      <w:start w:val="1"/>
      <w:numFmt w:val="decimal"/>
      <w:suff w:val="nothing"/>
      <w:lvlText w:val="%1．"/>
      <w:lvlJc w:val="left"/>
      <w:pPr>
        <w:ind w:left="0" w:firstLine="400"/>
      </w:pPr>
      <w:rPr>
        <w:rFonts w:hint="default"/>
      </w:rPr>
    </w:lvl>
  </w:abstractNum>
  <w:abstractNum w:abstractNumId="3">
    <w:nsid w:val="D92E5026"/>
    <w:multiLevelType w:val="singleLevel"/>
    <w:tmpl w:val="D92E5026"/>
    <w:lvl w:ilvl="0" w:tentative="0">
      <w:start w:val="1"/>
      <w:numFmt w:val="chineseCounting"/>
      <w:suff w:val="nothing"/>
      <w:lvlText w:val="（%1）"/>
      <w:lvlJc w:val="left"/>
      <w:pPr>
        <w:ind w:left="0" w:firstLine="420"/>
      </w:pPr>
      <w:rPr>
        <w:rFonts w:hint="eastAsia"/>
      </w:rPr>
    </w:lvl>
  </w:abstractNum>
  <w:abstractNum w:abstractNumId="4">
    <w:nsid w:val="DBE6D302"/>
    <w:multiLevelType w:val="singleLevel"/>
    <w:tmpl w:val="DBE6D302"/>
    <w:lvl w:ilvl="0" w:tentative="0">
      <w:start w:val="1"/>
      <w:numFmt w:val="chineseCounting"/>
      <w:suff w:val="nothing"/>
      <w:lvlText w:val="（%1）"/>
      <w:lvlJc w:val="left"/>
      <w:pPr>
        <w:ind w:left="0" w:firstLine="420"/>
      </w:pPr>
      <w:rPr>
        <w:rFonts w:hint="eastAsia"/>
      </w:rPr>
    </w:lvl>
  </w:abstractNum>
  <w:abstractNum w:abstractNumId="5">
    <w:nsid w:val="FA4114A4"/>
    <w:multiLevelType w:val="singleLevel"/>
    <w:tmpl w:val="FA4114A4"/>
    <w:lvl w:ilvl="0" w:tentative="0">
      <w:start w:val="1"/>
      <w:numFmt w:val="decimal"/>
      <w:suff w:val="nothing"/>
      <w:lvlText w:val="%1．"/>
      <w:lvlJc w:val="left"/>
      <w:pPr>
        <w:ind w:left="0" w:firstLine="400"/>
      </w:pPr>
      <w:rPr>
        <w:rFonts w:hint="default"/>
      </w:rPr>
    </w:lvl>
  </w:abstractNum>
  <w:abstractNum w:abstractNumId="6">
    <w:nsid w:val="0F720DEB"/>
    <w:multiLevelType w:val="singleLevel"/>
    <w:tmpl w:val="0F720DEB"/>
    <w:lvl w:ilvl="0" w:tentative="0">
      <w:start w:val="1"/>
      <w:numFmt w:val="decimal"/>
      <w:suff w:val="nothing"/>
      <w:lvlText w:val="%1．"/>
      <w:lvlJc w:val="left"/>
      <w:pPr>
        <w:ind w:left="0" w:firstLine="400"/>
      </w:pPr>
      <w:rPr>
        <w:rFonts w:hint="default"/>
      </w:rPr>
    </w:lvl>
  </w:abstractNum>
  <w:abstractNum w:abstractNumId="7">
    <w:nsid w:val="6D637DC1"/>
    <w:multiLevelType w:val="singleLevel"/>
    <w:tmpl w:val="6D637DC1"/>
    <w:lvl w:ilvl="0" w:tentative="0">
      <w:start w:val="1"/>
      <w:numFmt w:val="chineseCounting"/>
      <w:suff w:val="nothing"/>
      <w:lvlText w:val="（%1）"/>
      <w:lvlJc w:val="left"/>
      <w:pPr>
        <w:ind w:left="0" w:firstLine="420"/>
      </w:pPr>
      <w:rPr>
        <w:rFonts w:hint="eastAsia"/>
      </w:rPr>
    </w:lvl>
  </w:abstractNum>
  <w:abstractNum w:abstractNumId="8">
    <w:nsid w:val="6E6F60E7"/>
    <w:multiLevelType w:val="multilevel"/>
    <w:tmpl w:val="6E6F60E7"/>
    <w:lvl w:ilvl="0" w:tentative="0">
      <w:start w:val="2"/>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E6F60E8"/>
    <w:multiLevelType w:val="multilevel"/>
    <w:tmpl w:val="6E6F60E8"/>
    <w:lvl w:ilvl="0" w:tentative="0">
      <w:start w:val="1"/>
      <w:numFmt w:val="chineseCountingThousand"/>
      <w:lvlText w:val="%1、"/>
      <w:lvlJc w:val="left"/>
      <w:pPr>
        <w:ind w:left="425" w:hanging="425"/>
      </w:pPr>
      <w:rPr>
        <w:rFonts w:hint="eastAsia"/>
        <w:sz w:val="24"/>
        <w:szCs w:val="24"/>
      </w:rPr>
    </w:lvl>
    <w:lvl w:ilvl="1" w:tentative="0">
      <w:start w:val="1"/>
      <w:numFmt w:val="chineseCountingThousand"/>
      <w:lvlText w:val="（%2）"/>
      <w:lvlJc w:val="left"/>
      <w:pPr>
        <w:ind w:left="992" w:hanging="567"/>
      </w:pPr>
      <w:rPr>
        <w:rFonts w:hint="eastAsia" w:ascii="仿宋_GB2312" w:eastAsia="仿宋_GB2312"/>
        <w:sz w:val="24"/>
        <w:szCs w:val="24"/>
        <w:lang w:val="en-US"/>
      </w:rPr>
    </w:lvl>
    <w:lvl w:ilvl="2" w:tentative="0">
      <w:start w:val="1"/>
      <w:numFmt w:val="decimal"/>
      <w:lvlText w:val="%3."/>
      <w:lvlJc w:val="left"/>
      <w:pPr>
        <w:ind w:left="1418" w:hanging="567"/>
      </w:pPr>
      <w:rPr>
        <w:rFonts w:hint="eastAsia"/>
      </w:rPr>
    </w:lvl>
    <w:lvl w:ilvl="3" w:tentative="0">
      <w:start w:val="1"/>
      <w:numFmt w:val="decimal"/>
      <w:lvlText w:val="(%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8"/>
  </w:num>
  <w:num w:numId="2">
    <w:abstractNumId w:val="3"/>
  </w:num>
  <w:num w:numId="3">
    <w:abstractNumId w:val="1"/>
  </w:num>
  <w:num w:numId="4">
    <w:abstractNumId w:val="6"/>
  </w:num>
  <w:num w:numId="5">
    <w:abstractNumId w:val="0"/>
  </w:num>
  <w:num w:numId="6">
    <w:abstractNumId w:val="5"/>
  </w:num>
  <w:num w:numId="7">
    <w:abstractNumId w:val="2"/>
  </w:num>
  <w:num w:numId="8">
    <w:abstractNumId w:val="7"/>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5ZDRmNGZkZDRmYjIwZjZjZjFiMGQwYjlkN2UyYTYifQ=="/>
  </w:docVars>
  <w:rsids>
    <w:rsidRoot w:val="00F7256F"/>
    <w:rsid w:val="00030E75"/>
    <w:rsid w:val="0003788D"/>
    <w:rsid w:val="000C23C1"/>
    <w:rsid w:val="000E3784"/>
    <w:rsid w:val="00135DF8"/>
    <w:rsid w:val="00147FD6"/>
    <w:rsid w:val="001777EF"/>
    <w:rsid w:val="001F3663"/>
    <w:rsid w:val="002817A1"/>
    <w:rsid w:val="00353219"/>
    <w:rsid w:val="00353DDD"/>
    <w:rsid w:val="00374439"/>
    <w:rsid w:val="00585859"/>
    <w:rsid w:val="00586E4B"/>
    <w:rsid w:val="005B4D2A"/>
    <w:rsid w:val="00613287"/>
    <w:rsid w:val="00614EC3"/>
    <w:rsid w:val="00663ECB"/>
    <w:rsid w:val="006906E5"/>
    <w:rsid w:val="00696581"/>
    <w:rsid w:val="006A4720"/>
    <w:rsid w:val="006B2930"/>
    <w:rsid w:val="00707510"/>
    <w:rsid w:val="00734EE2"/>
    <w:rsid w:val="0074065F"/>
    <w:rsid w:val="00741138"/>
    <w:rsid w:val="0079035B"/>
    <w:rsid w:val="0084552B"/>
    <w:rsid w:val="00865258"/>
    <w:rsid w:val="00985A69"/>
    <w:rsid w:val="009B3118"/>
    <w:rsid w:val="009C7324"/>
    <w:rsid w:val="009E2F6B"/>
    <w:rsid w:val="00A37A20"/>
    <w:rsid w:val="00A9092F"/>
    <w:rsid w:val="00AB3A14"/>
    <w:rsid w:val="00AC3EA6"/>
    <w:rsid w:val="00B31C9B"/>
    <w:rsid w:val="00B509C3"/>
    <w:rsid w:val="00C73916"/>
    <w:rsid w:val="00CA4447"/>
    <w:rsid w:val="00CC247B"/>
    <w:rsid w:val="00CD70F4"/>
    <w:rsid w:val="00D14CCB"/>
    <w:rsid w:val="00D2730F"/>
    <w:rsid w:val="00D84820"/>
    <w:rsid w:val="00EC03D7"/>
    <w:rsid w:val="00F705B3"/>
    <w:rsid w:val="00F7256F"/>
    <w:rsid w:val="00FC729B"/>
    <w:rsid w:val="011E1C33"/>
    <w:rsid w:val="01E229DD"/>
    <w:rsid w:val="043D4E77"/>
    <w:rsid w:val="04D2212A"/>
    <w:rsid w:val="06DF40D3"/>
    <w:rsid w:val="087E5F05"/>
    <w:rsid w:val="08D12032"/>
    <w:rsid w:val="09713804"/>
    <w:rsid w:val="0A714B1B"/>
    <w:rsid w:val="0B541458"/>
    <w:rsid w:val="0B730A78"/>
    <w:rsid w:val="0BB74066"/>
    <w:rsid w:val="0CAF5F6B"/>
    <w:rsid w:val="0CD36378"/>
    <w:rsid w:val="0D2E4F0B"/>
    <w:rsid w:val="0DE26DC8"/>
    <w:rsid w:val="0E550083"/>
    <w:rsid w:val="10487E27"/>
    <w:rsid w:val="10741C20"/>
    <w:rsid w:val="128539B4"/>
    <w:rsid w:val="13030466"/>
    <w:rsid w:val="133E0980"/>
    <w:rsid w:val="14991A27"/>
    <w:rsid w:val="160D098F"/>
    <w:rsid w:val="1623745E"/>
    <w:rsid w:val="16924BAE"/>
    <w:rsid w:val="180F7009"/>
    <w:rsid w:val="185458EF"/>
    <w:rsid w:val="19517A4B"/>
    <w:rsid w:val="197B412E"/>
    <w:rsid w:val="1BD66EA8"/>
    <w:rsid w:val="1C6E5776"/>
    <w:rsid w:val="1CA67605"/>
    <w:rsid w:val="1D94202E"/>
    <w:rsid w:val="20855A40"/>
    <w:rsid w:val="20E71F9A"/>
    <w:rsid w:val="212C045B"/>
    <w:rsid w:val="2191206A"/>
    <w:rsid w:val="21B71841"/>
    <w:rsid w:val="22372AAE"/>
    <w:rsid w:val="23297FA3"/>
    <w:rsid w:val="26EC2646"/>
    <w:rsid w:val="27C14BA3"/>
    <w:rsid w:val="280A140C"/>
    <w:rsid w:val="29477C7C"/>
    <w:rsid w:val="29BD1A67"/>
    <w:rsid w:val="29CD361C"/>
    <w:rsid w:val="29EB22E3"/>
    <w:rsid w:val="2B9D731A"/>
    <w:rsid w:val="2BBF5FEE"/>
    <w:rsid w:val="2BC65BD5"/>
    <w:rsid w:val="2CA16C03"/>
    <w:rsid w:val="2CB55260"/>
    <w:rsid w:val="2CDB4DA8"/>
    <w:rsid w:val="2D0B3D9D"/>
    <w:rsid w:val="2D1E4F96"/>
    <w:rsid w:val="2D7A5B44"/>
    <w:rsid w:val="2E506D26"/>
    <w:rsid w:val="305506B7"/>
    <w:rsid w:val="30905A91"/>
    <w:rsid w:val="31653193"/>
    <w:rsid w:val="32F63586"/>
    <w:rsid w:val="342C4AA3"/>
    <w:rsid w:val="385C2E16"/>
    <w:rsid w:val="38A61003"/>
    <w:rsid w:val="39104EAB"/>
    <w:rsid w:val="39A138F4"/>
    <w:rsid w:val="3A20103A"/>
    <w:rsid w:val="3C9A303D"/>
    <w:rsid w:val="3D076BFE"/>
    <w:rsid w:val="3D3952F2"/>
    <w:rsid w:val="40E05F0F"/>
    <w:rsid w:val="411C70BA"/>
    <w:rsid w:val="424961B9"/>
    <w:rsid w:val="42B86E9B"/>
    <w:rsid w:val="44B71DD5"/>
    <w:rsid w:val="46D60CEB"/>
    <w:rsid w:val="47031695"/>
    <w:rsid w:val="47054096"/>
    <w:rsid w:val="47454DED"/>
    <w:rsid w:val="49F668E5"/>
    <w:rsid w:val="4A0473F3"/>
    <w:rsid w:val="4A0D07A5"/>
    <w:rsid w:val="4A207A72"/>
    <w:rsid w:val="4A400831"/>
    <w:rsid w:val="4A5635B7"/>
    <w:rsid w:val="4C787936"/>
    <w:rsid w:val="4C980C25"/>
    <w:rsid w:val="4E3814F7"/>
    <w:rsid w:val="4EE76A55"/>
    <w:rsid w:val="4EEA6FD1"/>
    <w:rsid w:val="4EEE531D"/>
    <w:rsid w:val="4EF70D4B"/>
    <w:rsid w:val="4F862275"/>
    <w:rsid w:val="50447FC0"/>
    <w:rsid w:val="517353D5"/>
    <w:rsid w:val="51B66C9C"/>
    <w:rsid w:val="53420206"/>
    <w:rsid w:val="538658D4"/>
    <w:rsid w:val="53B53431"/>
    <w:rsid w:val="54077C82"/>
    <w:rsid w:val="54765E02"/>
    <w:rsid w:val="56453635"/>
    <w:rsid w:val="574125C2"/>
    <w:rsid w:val="590F5905"/>
    <w:rsid w:val="5A663955"/>
    <w:rsid w:val="5B0171D9"/>
    <w:rsid w:val="5D271FB3"/>
    <w:rsid w:val="5D854182"/>
    <w:rsid w:val="5EC16600"/>
    <w:rsid w:val="62786BFF"/>
    <w:rsid w:val="63CB2A7A"/>
    <w:rsid w:val="645C7EA7"/>
    <w:rsid w:val="64605956"/>
    <w:rsid w:val="654E4C0B"/>
    <w:rsid w:val="65DA5D9D"/>
    <w:rsid w:val="666B5E4F"/>
    <w:rsid w:val="66787B9C"/>
    <w:rsid w:val="66846F11"/>
    <w:rsid w:val="688C1FC5"/>
    <w:rsid w:val="68C146F5"/>
    <w:rsid w:val="69D355ED"/>
    <w:rsid w:val="6A2533F9"/>
    <w:rsid w:val="6B7455E2"/>
    <w:rsid w:val="6CB618FA"/>
    <w:rsid w:val="6D6B24C1"/>
    <w:rsid w:val="6E0215F7"/>
    <w:rsid w:val="70567A1B"/>
    <w:rsid w:val="70910388"/>
    <w:rsid w:val="714508A8"/>
    <w:rsid w:val="71722787"/>
    <w:rsid w:val="735465E8"/>
    <w:rsid w:val="73FD75B1"/>
    <w:rsid w:val="74094B36"/>
    <w:rsid w:val="750F4861"/>
    <w:rsid w:val="750F71E0"/>
    <w:rsid w:val="75D24D1A"/>
    <w:rsid w:val="775F66F7"/>
    <w:rsid w:val="79272CBF"/>
    <w:rsid w:val="7A0A7FA5"/>
    <w:rsid w:val="7A6C60C7"/>
    <w:rsid w:val="7BCC616F"/>
    <w:rsid w:val="7C09092F"/>
    <w:rsid w:val="7C3206D2"/>
    <w:rsid w:val="7D410A92"/>
    <w:rsid w:val="7DDD71DA"/>
    <w:rsid w:val="7E311391"/>
    <w:rsid w:val="7E731DE2"/>
    <w:rsid w:val="7E7A48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66"/>
    <w:qFormat/>
    <w:uiPriority w:val="0"/>
    <w:pPr>
      <w:keepNext/>
      <w:keepLines/>
      <w:spacing w:before="340" w:after="330" w:line="576" w:lineRule="auto"/>
      <w:outlineLvl w:val="0"/>
    </w:pPr>
    <w:rPr>
      <w:b/>
      <w:bCs/>
      <w:kern w:val="44"/>
      <w:sz w:val="44"/>
      <w:szCs w:val="44"/>
    </w:rPr>
  </w:style>
  <w:style w:type="paragraph" w:styleId="3">
    <w:name w:val="heading 2"/>
    <w:basedOn w:val="1"/>
    <w:next w:val="4"/>
    <w:link w:val="67"/>
    <w:autoRedefine/>
    <w:qFormat/>
    <w:uiPriority w:val="0"/>
    <w:pPr>
      <w:keepNext/>
      <w:keepLines/>
      <w:adjustRightInd w:val="0"/>
      <w:snapToGrid w:val="0"/>
      <w:spacing w:line="360" w:lineRule="auto"/>
      <w:jc w:val="center"/>
      <w:outlineLvl w:val="1"/>
    </w:pPr>
    <w:rPr>
      <w:rFonts w:ascii="宋体" w:hAnsi="Arial" w:cs="宋体"/>
      <w:sz w:val="32"/>
    </w:rPr>
  </w:style>
  <w:style w:type="paragraph" w:styleId="6">
    <w:name w:val="heading 3"/>
    <w:basedOn w:val="1"/>
    <w:next w:val="1"/>
    <w:link w:val="68"/>
    <w:autoRedefine/>
    <w:qFormat/>
    <w:uiPriority w:val="0"/>
    <w:pPr>
      <w:tabs>
        <w:tab w:val="left" w:pos="851"/>
      </w:tabs>
      <w:autoSpaceDE w:val="0"/>
      <w:autoSpaceDN w:val="0"/>
      <w:adjustRightInd w:val="0"/>
      <w:snapToGrid w:val="0"/>
      <w:spacing w:line="360" w:lineRule="auto"/>
      <w:outlineLvl w:val="2"/>
    </w:pPr>
    <w:rPr>
      <w:rFonts w:ascii="宋体" w:cs="宋体"/>
    </w:rPr>
  </w:style>
  <w:style w:type="paragraph" w:styleId="7">
    <w:name w:val="heading 4"/>
    <w:basedOn w:val="1"/>
    <w:next w:val="4"/>
    <w:link w:val="69"/>
    <w:qFormat/>
    <w:uiPriority w:val="0"/>
    <w:pPr>
      <w:autoSpaceDE w:val="0"/>
      <w:autoSpaceDN w:val="0"/>
      <w:adjustRightInd w:val="0"/>
      <w:snapToGrid w:val="0"/>
      <w:spacing w:line="360" w:lineRule="auto"/>
      <w:outlineLvl w:val="3"/>
    </w:pPr>
    <w:rPr>
      <w:rFonts w:ascii="宋体" w:hAnsi="Arial" w:cs="宋体"/>
      <w:color w:val="000000"/>
    </w:rPr>
  </w:style>
  <w:style w:type="paragraph" w:styleId="8">
    <w:name w:val="heading 5"/>
    <w:basedOn w:val="1"/>
    <w:next w:val="4"/>
    <w:link w:val="70"/>
    <w:qFormat/>
    <w:uiPriority w:val="0"/>
    <w:pPr>
      <w:keepNext/>
      <w:autoSpaceDE w:val="0"/>
      <w:autoSpaceDN w:val="0"/>
      <w:adjustRightInd w:val="0"/>
      <w:snapToGrid w:val="0"/>
      <w:spacing w:before="280" w:after="290" w:line="374" w:lineRule="auto"/>
      <w:outlineLvl w:val="4"/>
    </w:pPr>
    <w:rPr>
      <w:rFonts w:ascii="宋体" w:cs="宋体"/>
      <w:b/>
      <w:color w:val="000000"/>
      <w:sz w:val="28"/>
    </w:rPr>
  </w:style>
  <w:style w:type="paragraph" w:styleId="9">
    <w:name w:val="heading 6"/>
    <w:basedOn w:val="1"/>
    <w:next w:val="4"/>
    <w:link w:val="71"/>
    <w:qFormat/>
    <w:uiPriority w:val="0"/>
    <w:pPr>
      <w:keepNext/>
      <w:autoSpaceDE w:val="0"/>
      <w:autoSpaceDN w:val="0"/>
      <w:adjustRightInd w:val="0"/>
      <w:snapToGrid w:val="0"/>
      <w:spacing w:before="240" w:after="64" w:line="319" w:lineRule="auto"/>
      <w:outlineLvl w:val="5"/>
    </w:pPr>
    <w:rPr>
      <w:rFonts w:ascii="Arial" w:hAnsi="Arial" w:eastAsia="黑体"/>
      <w:b/>
      <w:color w:val="000000"/>
      <w:sz w:val="24"/>
    </w:rPr>
  </w:style>
  <w:style w:type="paragraph" w:styleId="10">
    <w:name w:val="heading 7"/>
    <w:basedOn w:val="1"/>
    <w:next w:val="4"/>
    <w:link w:val="72"/>
    <w:qFormat/>
    <w:uiPriority w:val="0"/>
    <w:pPr>
      <w:keepNext/>
      <w:autoSpaceDE w:val="0"/>
      <w:autoSpaceDN w:val="0"/>
      <w:adjustRightInd w:val="0"/>
      <w:snapToGrid w:val="0"/>
      <w:spacing w:before="240" w:after="64" w:line="319" w:lineRule="auto"/>
      <w:outlineLvl w:val="6"/>
    </w:pPr>
    <w:rPr>
      <w:rFonts w:ascii="宋体"/>
      <w:b/>
      <w:color w:val="000000"/>
      <w:sz w:val="24"/>
    </w:rPr>
  </w:style>
  <w:style w:type="paragraph" w:styleId="11">
    <w:name w:val="heading 8"/>
    <w:basedOn w:val="1"/>
    <w:next w:val="4"/>
    <w:link w:val="73"/>
    <w:qFormat/>
    <w:uiPriority w:val="0"/>
    <w:pPr>
      <w:keepNext/>
      <w:autoSpaceDE w:val="0"/>
      <w:autoSpaceDN w:val="0"/>
      <w:adjustRightInd w:val="0"/>
      <w:snapToGrid w:val="0"/>
      <w:spacing w:before="240" w:after="64" w:line="319" w:lineRule="auto"/>
      <w:outlineLvl w:val="7"/>
    </w:pPr>
    <w:rPr>
      <w:rFonts w:ascii="Arial" w:hAnsi="Arial" w:eastAsia="黑体"/>
      <w:color w:val="000000"/>
      <w:sz w:val="24"/>
    </w:rPr>
  </w:style>
  <w:style w:type="paragraph" w:styleId="12">
    <w:name w:val="heading 9"/>
    <w:basedOn w:val="1"/>
    <w:next w:val="4"/>
    <w:link w:val="74"/>
    <w:qFormat/>
    <w:uiPriority w:val="0"/>
    <w:pPr>
      <w:keepNext/>
      <w:autoSpaceDE w:val="0"/>
      <w:autoSpaceDN w:val="0"/>
      <w:adjustRightInd w:val="0"/>
      <w:snapToGrid w:val="0"/>
      <w:spacing w:before="240" w:after="64" w:line="319" w:lineRule="auto"/>
      <w:outlineLvl w:val="8"/>
    </w:pPr>
    <w:rPr>
      <w:rFonts w:ascii="Arial" w:hAnsi="Arial" w:eastAsia="黑体"/>
      <w:color w:val="000000"/>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5"/>
    <w:link w:val="75"/>
    <w:autoRedefine/>
    <w:qFormat/>
    <w:uiPriority w:val="0"/>
    <w:pPr>
      <w:ind w:firstLine="420"/>
    </w:pPr>
    <w:rPr>
      <w:rFonts w:ascii="Times New Roman" w:hAnsi="Times New Roman"/>
      <w:kern w:val="0"/>
      <w:szCs w:val="20"/>
    </w:rPr>
  </w:style>
  <w:style w:type="paragraph" w:styleId="5">
    <w:name w:val="index 8"/>
    <w:basedOn w:val="1"/>
    <w:next w:val="1"/>
    <w:qFormat/>
    <w:uiPriority w:val="0"/>
    <w:pPr>
      <w:widowControl w:val="0"/>
      <w:ind w:left="1400" w:leftChars="1400"/>
      <w:jc w:val="both"/>
    </w:pPr>
    <w:rPr>
      <w:kern w:val="2"/>
      <w:szCs w:val="24"/>
    </w:rPr>
  </w:style>
  <w:style w:type="paragraph" w:styleId="13">
    <w:name w:val="toc 7"/>
    <w:basedOn w:val="1"/>
    <w:next w:val="1"/>
    <w:autoRedefine/>
    <w:unhideWhenUsed/>
    <w:qFormat/>
    <w:uiPriority w:val="39"/>
    <w:pPr>
      <w:ind w:left="2520" w:leftChars="1200"/>
    </w:pPr>
  </w:style>
  <w:style w:type="paragraph" w:styleId="14">
    <w:name w:val="Document Map"/>
    <w:basedOn w:val="1"/>
    <w:link w:val="76"/>
    <w:qFormat/>
    <w:uiPriority w:val="0"/>
    <w:rPr>
      <w:rFonts w:ascii="宋体" w:hAnsi="Tahoma"/>
      <w:sz w:val="18"/>
      <w:szCs w:val="18"/>
      <w:lang w:val="zh-CN"/>
    </w:rPr>
  </w:style>
  <w:style w:type="paragraph" w:styleId="15">
    <w:name w:val="annotation text"/>
    <w:basedOn w:val="1"/>
    <w:link w:val="77"/>
    <w:autoRedefine/>
    <w:qFormat/>
    <w:uiPriority w:val="99"/>
    <w:rPr>
      <w:rFonts w:ascii="Times New Roman" w:hAnsi="Times New Roman"/>
      <w:szCs w:val="24"/>
      <w:lang w:val="zh-CN"/>
    </w:rPr>
  </w:style>
  <w:style w:type="paragraph" w:styleId="16">
    <w:name w:val="Body Text 3"/>
    <w:basedOn w:val="1"/>
    <w:link w:val="78"/>
    <w:autoRedefine/>
    <w:qFormat/>
    <w:uiPriority w:val="0"/>
    <w:pPr>
      <w:spacing w:after="120"/>
    </w:pPr>
    <w:rPr>
      <w:sz w:val="16"/>
      <w:szCs w:val="16"/>
    </w:rPr>
  </w:style>
  <w:style w:type="paragraph" w:styleId="17">
    <w:name w:val="Body Text"/>
    <w:basedOn w:val="1"/>
    <w:next w:val="1"/>
    <w:link w:val="229"/>
    <w:autoRedefine/>
    <w:qFormat/>
    <w:uiPriority w:val="0"/>
    <w:pPr>
      <w:spacing w:after="120"/>
    </w:pPr>
    <w:rPr>
      <w:rFonts w:ascii="Tahoma" w:hAnsi="Tahoma"/>
      <w:szCs w:val="20"/>
      <w:lang w:val="zh-CN"/>
    </w:rPr>
  </w:style>
  <w:style w:type="paragraph" w:styleId="18">
    <w:name w:val="Body Text Indent"/>
    <w:basedOn w:val="1"/>
    <w:link w:val="80"/>
    <w:autoRedefine/>
    <w:qFormat/>
    <w:uiPriority w:val="0"/>
    <w:pPr>
      <w:spacing w:after="120"/>
      <w:ind w:left="420" w:leftChars="200"/>
    </w:pPr>
  </w:style>
  <w:style w:type="paragraph" w:styleId="19">
    <w:name w:val="toc 5"/>
    <w:basedOn w:val="1"/>
    <w:next w:val="1"/>
    <w:unhideWhenUsed/>
    <w:qFormat/>
    <w:uiPriority w:val="39"/>
    <w:pPr>
      <w:ind w:left="1680" w:leftChars="800"/>
    </w:pPr>
  </w:style>
  <w:style w:type="paragraph" w:styleId="20">
    <w:name w:val="toc 3"/>
    <w:basedOn w:val="1"/>
    <w:next w:val="1"/>
    <w:autoRedefine/>
    <w:qFormat/>
    <w:uiPriority w:val="39"/>
    <w:pPr>
      <w:ind w:left="840" w:leftChars="400"/>
    </w:pPr>
  </w:style>
  <w:style w:type="paragraph" w:styleId="21">
    <w:name w:val="Plain Text"/>
    <w:basedOn w:val="1"/>
    <w:link w:val="81"/>
    <w:autoRedefine/>
    <w:qFormat/>
    <w:uiPriority w:val="0"/>
    <w:rPr>
      <w:rFonts w:ascii="宋体" w:hAnsi="Courier New"/>
      <w:kern w:val="0"/>
      <w:szCs w:val="21"/>
      <w:lang w:val="zh-CN"/>
    </w:rPr>
  </w:style>
  <w:style w:type="paragraph" w:styleId="22">
    <w:name w:val="toc 8"/>
    <w:basedOn w:val="1"/>
    <w:next w:val="1"/>
    <w:autoRedefine/>
    <w:unhideWhenUsed/>
    <w:qFormat/>
    <w:uiPriority w:val="39"/>
    <w:pPr>
      <w:ind w:left="2940" w:leftChars="1400"/>
    </w:pPr>
  </w:style>
  <w:style w:type="paragraph" w:styleId="23">
    <w:name w:val="Date"/>
    <w:basedOn w:val="1"/>
    <w:next w:val="1"/>
    <w:link w:val="82"/>
    <w:autoRedefine/>
    <w:qFormat/>
    <w:uiPriority w:val="0"/>
    <w:rPr>
      <w:rFonts w:ascii="楷体_GB2312" w:eastAsia="楷体_GB2312"/>
      <w:sz w:val="28"/>
    </w:rPr>
  </w:style>
  <w:style w:type="paragraph" w:styleId="24">
    <w:name w:val="Body Text Indent 2"/>
    <w:basedOn w:val="1"/>
    <w:link w:val="83"/>
    <w:autoRedefine/>
    <w:qFormat/>
    <w:uiPriority w:val="0"/>
    <w:pPr>
      <w:spacing w:after="120" w:line="480" w:lineRule="auto"/>
      <w:ind w:left="420" w:leftChars="200"/>
    </w:pPr>
  </w:style>
  <w:style w:type="paragraph" w:styleId="25">
    <w:name w:val="Balloon Text"/>
    <w:basedOn w:val="1"/>
    <w:link w:val="65"/>
    <w:autoRedefine/>
    <w:unhideWhenUsed/>
    <w:qFormat/>
    <w:uiPriority w:val="0"/>
    <w:rPr>
      <w:sz w:val="18"/>
      <w:szCs w:val="18"/>
    </w:rPr>
  </w:style>
  <w:style w:type="paragraph" w:styleId="26">
    <w:name w:val="footer"/>
    <w:basedOn w:val="1"/>
    <w:link w:val="51"/>
    <w:unhideWhenUsed/>
    <w:qFormat/>
    <w:uiPriority w:val="0"/>
    <w:pPr>
      <w:tabs>
        <w:tab w:val="center" w:pos="4153"/>
        <w:tab w:val="right" w:pos="8306"/>
      </w:tabs>
      <w:snapToGrid w:val="0"/>
      <w:jc w:val="left"/>
    </w:pPr>
    <w:rPr>
      <w:sz w:val="18"/>
      <w:szCs w:val="18"/>
    </w:rPr>
  </w:style>
  <w:style w:type="paragraph" w:styleId="27">
    <w:name w:val="header"/>
    <w:basedOn w:val="1"/>
    <w:link w:val="5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autoRedefine/>
    <w:qFormat/>
    <w:uiPriority w:val="39"/>
    <w:pPr>
      <w:spacing w:line="360" w:lineRule="auto"/>
      <w:ind w:left="824" w:hanging="824"/>
    </w:pPr>
    <w:rPr>
      <w:rFonts w:ascii="宋体"/>
    </w:rPr>
  </w:style>
  <w:style w:type="paragraph" w:styleId="29">
    <w:name w:val="toc 4"/>
    <w:basedOn w:val="1"/>
    <w:next w:val="1"/>
    <w:autoRedefine/>
    <w:unhideWhenUsed/>
    <w:qFormat/>
    <w:uiPriority w:val="39"/>
    <w:pPr>
      <w:ind w:left="1260" w:leftChars="600"/>
    </w:pPr>
  </w:style>
  <w:style w:type="paragraph" w:styleId="30">
    <w:name w:val="toc 6"/>
    <w:basedOn w:val="1"/>
    <w:next w:val="1"/>
    <w:unhideWhenUsed/>
    <w:qFormat/>
    <w:uiPriority w:val="39"/>
    <w:pPr>
      <w:ind w:left="2100" w:leftChars="1000"/>
    </w:pPr>
  </w:style>
  <w:style w:type="paragraph" w:styleId="31">
    <w:name w:val="Body Text Indent 3"/>
    <w:basedOn w:val="1"/>
    <w:link w:val="84"/>
    <w:qFormat/>
    <w:uiPriority w:val="0"/>
    <w:pPr>
      <w:spacing w:after="120"/>
      <w:ind w:left="420" w:leftChars="200"/>
    </w:pPr>
    <w:rPr>
      <w:sz w:val="16"/>
      <w:szCs w:val="16"/>
    </w:rPr>
  </w:style>
  <w:style w:type="paragraph" w:styleId="32">
    <w:name w:val="toc 2"/>
    <w:basedOn w:val="1"/>
    <w:next w:val="1"/>
    <w:qFormat/>
    <w:uiPriority w:val="39"/>
    <w:pPr>
      <w:tabs>
        <w:tab w:val="right" w:leader="dot" w:pos="9402"/>
      </w:tabs>
      <w:spacing w:line="360" w:lineRule="auto"/>
      <w:ind w:left="993" w:leftChars="202" w:hanging="569" w:hangingChars="237"/>
    </w:pPr>
  </w:style>
  <w:style w:type="paragraph" w:styleId="33">
    <w:name w:val="toc 9"/>
    <w:basedOn w:val="1"/>
    <w:next w:val="1"/>
    <w:unhideWhenUsed/>
    <w:qFormat/>
    <w:uiPriority w:val="39"/>
    <w:pPr>
      <w:ind w:left="3360" w:leftChars="1600"/>
    </w:pPr>
  </w:style>
  <w:style w:type="paragraph" w:styleId="34">
    <w:name w:val="Body Text 2"/>
    <w:basedOn w:val="1"/>
    <w:link w:val="85"/>
    <w:qFormat/>
    <w:uiPriority w:val="0"/>
    <w:pPr>
      <w:spacing w:after="120" w:line="480" w:lineRule="auto"/>
    </w:pPr>
  </w:style>
  <w:style w:type="paragraph" w:styleId="35">
    <w:name w:val="HTML Preformatted"/>
    <w:basedOn w:val="1"/>
    <w:link w:val="86"/>
    <w:qFormat/>
    <w:uiPriority w:val="0"/>
    <w:rPr>
      <w:rFonts w:ascii="黑体" w:hAnsi="Courier New" w:eastAsia="黑体" w:cs="Courier New"/>
      <w:sz w:val="20"/>
      <w:szCs w:val="21"/>
    </w:rPr>
  </w:style>
  <w:style w:type="paragraph" w:styleId="36">
    <w:name w:val="Normal (Web)"/>
    <w:basedOn w:val="1"/>
    <w:qFormat/>
    <w:uiPriority w:val="0"/>
    <w:pPr>
      <w:spacing w:before="100" w:beforeAutospacing="1" w:after="100" w:afterAutospacing="1"/>
    </w:pPr>
    <w:rPr>
      <w:rFonts w:ascii="宋体" w:hAnsi="宋体" w:cs="宋体"/>
      <w:sz w:val="24"/>
      <w:szCs w:val="24"/>
    </w:rPr>
  </w:style>
  <w:style w:type="paragraph" w:styleId="37">
    <w:name w:val="Title"/>
    <w:basedOn w:val="1"/>
    <w:qFormat/>
    <w:uiPriority w:val="0"/>
    <w:pPr>
      <w:spacing w:before="240" w:after="60"/>
      <w:jc w:val="center"/>
      <w:outlineLvl w:val="0"/>
    </w:pPr>
    <w:rPr>
      <w:rFonts w:ascii="Arial" w:hAnsi="Arial" w:cs="Arial"/>
      <w:b/>
      <w:bCs/>
      <w:sz w:val="32"/>
      <w:szCs w:val="32"/>
    </w:rPr>
  </w:style>
  <w:style w:type="paragraph" w:styleId="38">
    <w:name w:val="annotation subject"/>
    <w:basedOn w:val="15"/>
    <w:next w:val="15"/>
    <w:link w:val="87"/>
    <w:qFormat/>
    <w:uiPriority w:val="0"/>
    <w:pPr>
      <w:widowControl/>
    </w:pPr>
    <w:rPr>
      <w:b/>
      <w:bCs/>
    </w:rPr>
  </w:style>
  <w:style w:type="paragraph" w:styleId="39">
    <w:name w:val="Body Text First Indent"/>
    <w:basedOn w:val="17"/>
    <w:link w:val="88"/>
    <w:autoRedefine/>
    <w:qFormat/>
    <w:uiPriority w:val="0"/>
    <w:pPr>
      <w:ind w:firstLine="420" w:firstLineChars="100"/>
    </w:pPr>
  </w:style>
  <w:style w:type="table" w:styleId="41">
    <w:name w:val="Table Grid"/>
    <w:basedOn w:val="40"/>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0"/>
    <w:rPr>
      <w:b/>
      <w:bCs/>
    </w:rPr>
  </w:style>
  <w:style w:type="character" w:styleId="44">
    <w:name w:val="page number"/>
    <w:qFormat/>
    <w:uiPriority w:val="0"/>
  </w:style>
  <w:style w:type="character" w:styleId="45">
    <w:name w:val="FollowedHyperlink"/>
    <w:autoRedefine/>
    <w:qFormat/>
    <w:uiPriority w:val="99"/>
    <w:rPr>
      <w:color w:val="800080"/>
      <w:u w:val="single"/>
    </w:rPr>
  </w:style>
  <w:style w:type="character" w:styleId="46">
    <w:name w:val="Hyperlink"/>
    <w:autoRedefine/>
    <w:qFormat/>
    <w:uiPriority w:val="99"/>
    <w:rPr>
      <w:color w:val="0000FF"/>
      <w:u w:val="single"/>
    </w:rPr>
  </w:style>
  <w:style w:type="character" w:styleId="47">
    <w:name w:val="annotation reference"/>
    <w:autoRedefine/>
    <w:qFormat/>
    <w:uiPriority w:val="0"/>
    <w:rPr>
      <w:rFonts w:ascii="Tahoma" w:hAnsi="Tahoma"/>
      <w:kern w:val="2"/>
      <w:sz w:val="21"/>
      <w:szCs w:val="21"/>
    </w:rPr>
  </w:style>
  <w:style w:type="paragraph" w:customStyle="1" w:styleId="48">
    <w:name w:val="Default"/>
    <w:qFormat/>
    <w:uiPriority w:val="99"/>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49">
    <w:name w:val="表格文字"/>
    <w:basedOn w:val="1"/>
    <w:autoRedefine/>
    <w:qFormat/>
    <w:uiPriority w:val="0"/>
    <w:pPr>
      <w:spacing w:before="25" w:after="25"/>
      <w:jc w:val="left"/>
    </w:pPr>
    <w:rPr>
      <w:bCs/>
      <w:spacing w:val="10"/>
      <w:kern w:val="0"/>
      <w:sz w:val="24"/>
      <w:szCs w:val="20"/>
    </w:rPr>
  </w:style>
  <w:style w:type="character" w:customStyle="1" w:styleId="50">
    <w:name w:val="页眉 字符"/>
    <w:basedOn w:val="42"/>
    <w:link w:val="27"/>
    <w:qFormat/>
    <w:uiPriority w:val="99"/>
    <w:rPr>
      <w:sz w:val="18"/>
      <w:szCs w:val="18"/>
    </w:rPr>
  </w:style>
  <w:style w:type="character" w:customStyle="1" w:styleId="51">
    <w:name w:val="页脚 字符"/>
    <w:basedOn w:val="42"/>
    <w:link w:val="26"/>
    <w:qFormat/>
    <w:uiPriority w:val="99"/>
    <w:rPr>
      <w:sz w:val="18"/>
      <w:szCs w:val="18"/>
    </w:rPr>
  </w:style>
  <w:style w:type="paragraph" w:customStyle="1" w:styleId="52">
    <w:name w:val="正文_1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3">
    <w:name w:val="正文缩进 Char_1"/>
    <w:link w:val="54"/>
    <w:qFormat/>
    <w:uiPriority w:val="0"/>
    <w:rPr>
      <w:rFonts w:eastAsia="宋体"/>
    </w:rPr>
  </w:style>
  <w:style w:type="paragraph" w:customStyle="1" w:styleId="54">
    <w:name w:val="正文缩进_1"/>
    <w:basedOn w:val="55"/>
    <w:link w:val="53"/>
    <w:qFormat/>
    <w:uiPriority w:val="0"/>
    <w:pPr>
      <w:ind w:firstLine="420"/>
    </w:pPr>
    <w:rPr>
      <w:rFonts w:asciiTheme="minorHAnsi" w:hAnsiTheme="minorHAnsi" w:cstheme="minorBidi"/>
      <w:kern w:val="2"/>
      <w:szCs w:val="22"/>
    </w:rPr>
  </w:style>
  <w:style w:type="paragraph" w:customStyle="1" w:styleId="55">
    <w:name w:val="正文_2"/>
    <w:qFormat/>
    <w:uiPriority w:val="0"/>
    <w:rPr>
      <w:rFonts w:ascii="Times New Roman" w:hAnsi="Times New Roman" w:eastAsia="宋体" w:cs="Times New Roman"/>
      <w:sz w:val="21"/>
      <w:lang w:val="en-US" w:eastAsia="zh-CN" w:bidi="ar-SA"/>
    </w:rPr>
  </w:style>
  <w:style w:type="paragraph" w:customStyle="1" w:styleId="56">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
    <w:name w:val="标题 3_0_0"/>
    <w:basedOn w:val="52"/>
    <w:next w:val="1"/>
    <w:qFormat/>
    <w:uiPriority w:val="0"/>
    <w:pPr>
      <w:tabs>
        <w:tab w:val="left" w:pos="851"/>
      </w:tabs>
      <w:autoSpaceDE w:val="0"/>
      <w:autoSpaceDN w:val="0"/>
      <w:adjustRightInd w:val="0"/>
      <w:snapToGrid w:val="0"/>
      <w:spacing w:line="360" w:lineRule="auto"/>
      <w:outlineLvl w:val="2"/>
    </w:pPr>
    <w:rPr>
      <w:rFonts w:ascii="宋体" w:cs="宋体"/>
    </w:rPr>
  </w:style>
  <w:style w:type="paragraph" w:customStyle="1" w:styleId="58">
    <w:name w:val="正文_0"/>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59">
    <w:name w:val="正文1"/>
    <w:qFormat/>
    <w:uiPriority w:val="0"/>
    <w:pPr>
      <w:widowControl w:val="0"/>
      <w:jc w:val="both"/>
    </w:pPr>
    <w:rPr>
      <w:rFonts w:hint="eastAsia" w:ascii="Calibri" w:hAnsi="Calibri" w:eastAsia="宋体" w:cs="Times New Roman"/>
      <w:kern w:val="2"/>
      <w:sz w:val="21"/>
      <w:lang w:val="en-US" w:eastAsia="zh-CN" w:bidi="ar-SA"/>
    </w:rPr>
  </w:style>
  <w:style w:type="paragraph" w:customStyle="1" w:styleId="60">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
    <w:name w:val="标题 4_0"/>
    <w:basedOn w:val="55"/>
    <w:next w:val="54"/>
    <w:qFormat/>
    <w:uiPriority w:val="0"/>
    <w:pPr>
      <w:widowControl w:val="0"/>
      <w:autoSpaceDE w:val="0"/>
      <w:autoSpaceDN w:val="0"/>
      <w:adjustRightInd w:val="0"/>
      <w:snapToGrid w:val="0"/>
      <w:spacing w:line="360" w:lineRule="auto"/>
      <w:jc w:val="both"/>
      <w:outlineLvl w:val="3"/>
    </w:pPr>
    <w:rPr>
      <w:rFonts w:ascii="宋体" w:hAnsi="Arial" w:cs="宋体"/>
      <w:color w:val="000000"/>
    </w:rPr>
  </w:style>
  <w:style w:type="paragraph" w:customStyle="1" w:styleId="62">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
    <w:name w:val="标题 3_0"/>
    <w:basedOn w:val="1"/>
    <w:next w:val="1"/>
    <w:qFormat/>
    <w:uiPriority w:val="0"/>
    <w:pPr>
      <w:tabs>
        <w:tab w:val="left" w:pos="851"/>
      </w:tabs>
      <w:autoSpaceDE w:val="0"/>
      <w:autoSpaceDN w:val="0"/>
      <w:adjustRightInd w:val="0"/>
      <w:snapToGrid w:val="0"/>
      <w:spacing w:line="360" w:lineRule="auto"/>
      <w:outlineLvl w:val="2"/>
    </w:pPr>
    <w:rPr>
      <w:rFonts w:ascii="宋体" w:hAnsi="Times New Roman" w:cs="宋体"/>
    </w:rPr>
  </w:style>
  <w:style w:type="paragraph" w:customStyle="1" w:styleId="64">
    <w:name w:val="修订1"/>
    <w:hidden/>
    <w:semiHidden/>
    <w:qFormat/>
    <w:uiPriority w:val="99"/>
    <w:rPr>
      <w:rFonts w:ascii="Calibri" w:hAnsi="Calibri" w:eastAsia="宋体" w:cs="Times New Roman"/>
      <w:kern w:val="2"/>
      <w:sz w:val="21"/>
      <w:szCs w:val="22"/>
      <w:lang w:val="en-US" w:eastAsia="zh-CN" w:bidi="ar-SA"/>
    </w:rPr>
  </w:style>
  <w:style w:type="character" w:customStyle="1" w:styleId="65">
    <w:name w:val="批注框文本 字符"/>
    <w:basedOn w:val="42"/>
    <w:link w:val="25"/>
    <w:qFormat/>
    <w:uiPriority w:val="0"/>
    <w:rPr>
      <w:rFonts w:ascii="Calibri" w:hAnsi="Calibri" w:eastAsia="宋体" w:cs="Times New Roman"/>
      <w:kern w:val="2"/>
      <w:sz w:val="18"/>
      <w:szCs w:val="18"/>
    </w:rPr>
  </w:style>
  <w:style w:type="character" w:customStyle="1" w:styleId="66">
    <w:name w:val="标题 1 字符"/>
    <w:basedOn w:val="42"/>
    <w:link w:val="2"/>
    <w:qFormat/>
    <w:uiPriority w:val="0"/>
    <w:rPr>
      <w:rFonts w:ascii="Calibri" w:hAnsi="Calibri" w:eastAsia="宋体" w:cs="Times New Roman"/>
      <w:b/>
      <w:bCs/>
      <w:kern w:val="44"/>
      <w:sz w:val="44"/>
      <w:szCs w:val="44"/>
    </w:rPr>
  </w:style>
  <w:style w:type="character" w:customStyle="1" w:styleId="67">
    <w:name w:val="标题 2 字符"/>
    <w:basedOn w:val="42"/>
    <w:link w:val="3"/>
    <w:qFormat/>
    <w:uiPriority w:val="0"/>
    <w:rPr>
      <w:rFonts w:ascii="宋体" w:hAnsi="Arial" w:eastAsia="宋体" w:cs="宋体"/>
      <w:kern w:val="2"/>
      <w:sz w:val="32"/>
      <w:szCs w:val="22"/>
    </w:rPr>
  </w:style>
  <w:style w:type="character" w:customStyle="1" w:styleId="68">
    <w:name w:val="标题 3 字符"/>
    <w:basedOn w:val="42"/>
    <w:link w:val="6"/>
    <w:qFormat/>
    <w:uiPriority w:val="0"/>
    <w:rPr>
      <w:rFonts w:ascii="宋体" w:hAnsi="Calibri" w:eastAsia="宋体" w:cs="宋体"/>
      <w:kern w:val="2"/>
      <w:sz w:val="21"/>
      <w:szCs w:val="22"/>
    </w:rPr>
  </w:style>
  <w:style w:type="character" w:customStyle="1" w:styleId="69">
    <w:name w:val="标题 4 字符"/>
    <w:basedOn w:val="42"/>
    <w:link w:val="7"/>
    <w:qFormat/>
    <w:uiPriority w:val="0"/>
    <w:rPr>
      <w:rFonts w:ascii="宋体" w:hAnsi="Arial" w:eastAsia="宋体" w:cs="宋体"/>
      <w:color w:val="000000"/>
      <w:kern w:val="2"/>
      <w:sz w:val="21"/>
      <w:szCs w:val="22"/>
    </w:rPr>
  </w:style>
  <w:style w:type="character" w:customStyle="1" w:styleId="70">
    <w:name w:val="标题 5 字符"/>
    <w:basedOn w:val="42"/>
    <w:link w:val="8"/>
    <w:qFormat/>
    <w:uiPriority w:val="0"/>
    <w:rPr>
      <w:rFonts w:ascii="宋体" w:hAnsi="Calibri" w:eastAsia="宋体" w:cs="宋体"/>
      <w:b/>
      <w:color w:val="000000"/>
      <w:kern w:val="2"/>
      <w:sz w:val="28"/>
      <w:szCs w:val="22"/>
    </w:rPr>
  </w:style>
  <w:style w:type="character" w:customStyle="1" w:styleId="71">
    <w:name w:val="标题 6 字符"/>
    <w:basedOn w:val="42"/>
    <w:link w:val="9"/>
    <w:qFormat/>
    <w:uiPriority w:val="0"/>
    <w:rPr>
      <w:rFonts w:ascii="Arial" w:hAnsi="Arial" w:eastAsia="黑体" w:cs="Times New Roman"/>
      <w:b/>
      <w:color w:val="000000"/>
      <w:kern w:val="2"/>
      <w:sz w:val="24"/>
      <w:szCs w:val="22"/>
    </w:rPr>
  </w:style>
  <w:style w:type="character" w:customStyle="1" w:styleId="72">
    <w:name w:val="标题 7 字符"/>
    <w:basedOn w:val="42"/>
    <w:link w:val="10"/>
    <w:qFormat/>
    <w:uiPriority w:val="0"/>
    <w:rPr>
      <w:rFonts w:ascii="宋体" w:hAnsi="Calibri" w:eastAsia="宋体" w:cs="Times New Roman"/>
      <w:b/>
      <w:color w:val="000000"/>
      <w:kern w:val="2"/>
      <w:sz w:val="24"/>
      <w:szCs w:val="22"/>
    </w:rPr>
  </w:style>
  <w:style w:type="character" w:customStyle="1" w:styleId="73">
    <w:name w:val="标题 8 字符"/>
    <w:basedOn w:val="42"/>
    <w:link w:val="11"/>
    <w:qFormat/>
    <w:uiPriority w:val="0"/>
    <w:rPr>
      <w:rFonts w:ascii="Arial" w:hAnsi="Arial" w:eastAsia="黑体" w:cs="Times New Roman"/>
      <w:color w:val="000000"/>
      <w:kern w:val="2"/>
      <w:sz w:val="24"/>
      <w:szCs w:val="22"/>
    </w:rPr>
  </w:style>
  <w:style w:type="character" w:customStyle="1" w:styleId="74">
    <w:name w:val="标题 9 字符"/>
    <w:basedOn w:val="42"/>
    <w:link w:val="12"/>
    <w:qFormat/>
    <w:uiPriority w:val="0"/>
    <w:rPr>
      <w:rFonts w:ascii="Arial" w:hAnsi="Arial" w:eastAsia="黑体" w:cs="Times New Roman"/>
      <w:color w:val="000000"/>
      <w:kern w:val="2"/>
      <w:sz w:val="21"/>
      <w:szCs w:val="22"/>
    </w:rPr>
  </w:style>
  <w:style w:type="character" w:customStyle="1" w:styleId="75">
    <w:name w:val="正文缩进 字符"/>
    <w:link w:val="4"/>
    <w:qFormat/>
    <w:uiPriority w:val="0"/>
    <w:rPr>
      <w:rFonts w:ascii="Times New Roman" w:hAnsi="Times New Roman" w:eastAsia="宋体" w:cs="Times New Roman"/>
      <w:sz w:val="21"/>
    </w:rPr>
  </w:style>
  <w:style w:type="character" w:customStyle="1" w:styleId="76">
    <w:name w:val="文档结构图 字符"/>
    <w:basedOn w:val="42"/>
    <w:link w:val="14"/>
    <w:qFormat/>
    <w:uiPriority w:val="0"/>
    <w:rPr>
      <w:rFonts w:ascii="宋体" w:hAnsi="Tahoma" w:eastAsia="宋体" w:cs="Times New Roman"/>
      <w:kern w:val="2"/>
      <w:sz w:val="18"/>
      <w:szCs w:val="18"/>
      <w:lang w:val="zh-CN" w:eastAsia="zh-CN"/>
    </w:rPr>
  </w:style>
  <w:style w:type="character" w:customStyle="1" w:styleId="77">
    <w:name w:val="批注文字 字符"/>
    <w:basedOn w:val="42"/>
    <w:link w:val="15"/>
    <w:qFormat/>
    <w:uiPriority w:val="99"/>
    <w:rPr>
      <w:rFonts w:ascii="Times New Roman" w:hAnsi="Times New Roman" w:eastAsia="宋体" w:cs="Times New Roman"/>
      <w:kern w:val="2"/>
      <w:sz w:val="21"/>
      <w:szCs w:val="24"/>
      <w:lang w:val="zh-CN" w:eastAsia="zh-CN"/>
    </w:rPr>
  </w:style>
  <w:style w:type="character" w:customStyle="1" w:styleId="78">
    <w:name w:val="正文文本 3 字符"/>
    <w:basedOn w:val="42"/>
    <w:link w:val="16"/>
    <w:qFormat/>
    <w:uiPriority w:val="0"/>
    <w:rPr>
      <w:rFonts w:ascii="Calibri" w:hAnsi="Calibri" w:eastAsia="宋体" w:cs="Times New Roman"/>
      <w:kern w:val="2"/>
      <w:sz w:val="16"/>
      <w:szCs w:val="16"/>
    </w:rPr>
  </w:style>
  <w:style w:type="character" w:customStyle="1" w:styleId="79">
    <w:name w:val="正文文本 Char"/>
    <w:basedOn w:val="42"/>
    <w:qFormat/>
    <w:uiPriority w:val="0"/>
    <w:rPr>
      <w:rFonts w:ascii="Tahoma" w:hAnsi="Tahoma" w:eastAsia="宋体" w:cs="Times New Roman"/>
      <w:kern w:val="2"/>
      <w:sz w:val="21"/>
      <w:lang w:val="zh-CN" w:eastAsia="zh-CN"/>
    </w:rPr>
  </w:style>
  <w:style w:type="character" w:customStyle="1" w:styleId="80">
    <w:name w:val="正文文本缩进 字符"/>
    <w:basedOn w:val="42"/>
    <w:link w:val="18"/>
    <w:qFormat/>
    <w:uiPriority w:val="0"/>
    <w:rPr>
      <w:rFonts w:ascii="Calibri" w:hAnsi="Calibri" w:eastAsia="宋体" w:cs="Times New Roman"/>
      <w:kern w:val="2"/>
      <w:sz w:val="21"/>
      <w:szCs w:val="22"/>
    </w:rPr>
  </w:style>
  <w:style w:type="character" w:customStyle="1" w:styleId="81">
    <w:name w:val="纯文本 字符"/>
    <w:basedOn w:val="42"/>
    <w:link w:val="21"/>
    <w:autoRedefine/>
    <w:qFormat/>
    <w:uiPriority w:val="0"/>
    <w:rPr>
      <w:rFonts w:ascii="宋体" w:hAnsi="Courier New" w:eastAsia="宋体" w:cs="Times New Roman"/>
      <w:sz w:val="21"/>
      <w:szCs w:val="21"/>
      <w:lang w:val="zh-CN" w:eastAsia="zh-CN"/>
    </w:rPr>
  </w:style>
  <w:style w:type="character" w:customStyle="1" w:styleId="82">
    <w:name w:val="日期 字符"/>
    <w:basedOn w:val="42"/>
    <w:link w:val="23"/>
    <w:autoRedefine/>
    <w:qFormat/>
    <w:uiPriority w:val="0"/>
    <w:rPr>
      <w:rFonts w:ascii="楷体_GB2312" w:hAnsi="Calibri" w:eastAsia="楷体_GB2312" w:cs="Times New Roman"/>
      <w:kern w:val="2"/>
      <w:sz w:val="28"/>
      <w:szCs w:val="22"/>
    </w:rPr>
  </w:style>
  <w:style w:type="character" w:customStyle="1" w:styleId="83">
    <w:name w:val="正文文本缩进 2 字符"/>
    <w:basedOn w:val="42"/>
    <w:link w:val="24"/>
    <w:qFormat/>
    <w:uiPriority w:val="0"/>
    <w:rPr>
      <w:rFonts w:ascii="Calibri" w:hAnsi="Calibri" w:eastAsia="宋体" w:cs="Times New Roman"/>
      <w:kern w:val="2"/>
      <w:sz w:val="21"/>
      <w:szCs w:val="22"/>
    </w:rPr>
  </w:style>
  <w:style w:type="character" w:customStyle="1" w:styleId="84">
    <w:name w:val="正文文本缩进 3 字符"/>
    <w:basedOn w:val="42"/>
    <w:link w:val="31"/>
    <w:qFormat/>
    <w:uiPriority w:val="0"/>
    <w:rPr>
      <w:rFonts w:ascii="Calibri" w:hAnsi="Calibri" w:eastAsia="宋体" w:cs="Times New Roman"/>
      <w:kern w:val="2"/>
      <w:sz w:val="16"/>
      <w:szCs w:val="16"/>
    </w:rPr>
  </w:style>
  <w:style w:type="character" w:customStyle="1" w:styleId="85">
    <w:name w:val="正文文本 2 字符"/>
    <w:basedOn w:val="42"/>
    <w:link w:val="34"/>
    <w:autoRedefine/>
    <w:qFormat/>
    <w:uiPriority w:val="0"/>
    <w:rPr>
      <w:rFonts w:ascii="Calibri" w:hAnsi="Calibri" w:eastAsia="宋体" w:cs="Times New Roman"/>
      <w:kern w:val="2"/>
      <w:sz w:val="21"/>
      <w:szCs w:val="22"/>
    </w:rPr>
  </w:style>
  <w:style w:type="character" w:customStyle="1" w:styleId="86">
    <w:name w:val="HTML 预设格式 字符"/>
    <w:basedOn w:val="42"/>
    <w:link w:val="35"/>
    <w:autoRedefine/>
    <w:qFormat/>
    <w:uiPriority w:val="0"/>
    <w:rPr>
      <w:rFonts w:ascii="黑体" w:hAnsi="Courier New" w:eastAsia="黑体" w:cs="Courier New"/>
      <w:kern w:val="2"/>
      <w:szCs w:val="21"/>
    </w:rPr>
  </w:style>
  <w:style w:type="character" w:customStyle="1" w:styleId="87">
    <w:name w:val="批注主题 字符"/>
    <w:basedOn w:val="77"/>
    <w:link w:val="38"/>
    <w:autoRedefine/>
    <w:qFormat/>
    <w:uiPriority w:val="0"/>
    <w:rPr>
      <w:rFonts w:ascii="Times New Roman" w:hAnsi="Times New Roman" w:eastAsia="宋体" w:cs="Times New Roman"/>
      <w:b/>
      <w:bCs/>
      <w:kern w:val="2"/>
      <w:sz w:val="21"/>
      <w:szCs w:val="24"/>
      <w:lang w:val="zh-CN" w:eastAsia="zh-CN"/>
    </w:rPr>
  </w:style>
  <w:style w:type="character" w:customStyle="1" w:styleId="88">
    <w:name w:val="正文文本首行缩进 字符"/>
    <w:basedOn w:val="79"/>
    <w:link w:val="39"/>
    <w:autoRedefine/>
    <w:qFormat/>
    <w:uiPriority w:val="0"/>
    <w:rPr>
      <w:rFonts w:ascii="Tahoma" w:hAnsi="Tahoma" w:eastAsia="宋体" w:cs="Times New Roman"/>
      <w:kern w:val="2"/>
      <w:sz w:val="21"/>
      <w:lang w:val="zh-CN" w:eastAsia="zh-CN"/>
    </w:rPr>
  </w:style>
  <w:style w:type="character" w:customStyle="1" w:styleId="89">
    <w:name w:val="正文（首行缩进两字） Char"/>
    <w:autoRedefine/>
    <w:qFormat/>
    <w:uiPriority w:val="0"/>
    <w:rPr>
      <w:rFonts w:eastAsia="宋体"/>
      <w:sz w:val="21"/>
      <w:lang w:val="en-US" w:eastAsia="zh-CN" w:bidi="ar-SA"/>
    </w:rPr>
  </w:style>
  <w:style w:type="character" w:customStyle="1" w:styleId="90">
    <w:name w:val="纯文本 Char_0_0"/>
    <w:link w:val="91"/>
    <w:autoRedefine/>
    <w:qFormat/>
    <w:locked/>
    <w:uiPriority w:val="0"/>
    <w:rPr>
      <w:rFonts w:ascii="宋体" w:hAnsi="Courier New" w:cs="Courier New"/>
      <w:szCs w:val="21"/>
    </w:rPr>
  </w:style>
  <w:style w:type="paragraph" w:customStyle="1" w:styleId="91">
    <w:name w:val="纯文本_0_0"/>
    <w:basedOn w:val="92"/>
    <w:link w:val="90"/>
    <w:unhideWhenUsed/>
    <w:qFormat/>
    <w:uiPriority w:val="0"/>
    <w:pPr>
      <w:widowControl/>
      <w:jc w:val="left"/>
    </w:pPr>
    <w:rPr>
      <w:rFonts w:ascii="宋体" w:hAnsi="Courier New" w:cs="Courier New" w:eastAsiaTheme="minorEastAsia"/>
      <w:kern w:val="0"/>
      <w:sz w:val="20"/>
      <w:szCs w:val="21"/>
    </w:rPr>
  </w:style>
  <w:style w:type="paragraph" w:customStyle="1" w:styleId="92">
    <w:name w:val="正文_0_1"/>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93">
    <w:name w:val="纯文本 Char_1_0"/>
    <w:link w:val="94"/>
    <w:autoRedefine/>
    <w:qFormat/>
    <w:uiPriority w:val="0"/>
    <w:rPr>
      <w:rFonts w:ascii="宋体" w:hAnsi="Courier New"/>
      <w:szCs w:val="21"/>
      <w:lang w:val="en-US" w:eastAsia="zh-CN"/>
    </w:rPr>
  </w:style>
  <w:style w:type="paragraph" w:customStyle="1" w:styleId="94">
    <w:name w:val="纯文本_1_0"/>
    <w:basedOn w:val="95"/>
    <w:link w:val="93"/>
    <w:autoRedefine/>
    <w:qFormat/>
    <w:uiPriority w:val="0"/>
    <w:pPr>
      <w:widowControl/>
      <w:jc w:val="left"/>
    </w:pPr>
    <w:rPr>
      <w:rFonts w:ascii="宋体" w:hAnsi="Courier New" w:eastAsiaTheme="minorEastAsia" w:cstheme="minorBidi"/>
      <w:kern w:val="0"/>
      <w:sz w:val="20"/>
      <w:szCs w:val="21"/>
    </w:rPr>
  </w:style>
  <w:style w:type="paragraph" w:customStyle="1" w:styleId="95">
    <w:name w:val="正文_9"/>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96">
    <w:name w:val="标题 2_0"/>
    <w:basedOn w:val="97"/>
    <w:next w:val="97"/>
    <w:autoRedefine/>
    <w:unhideWhenUsed/>
    <w:qFormat/>
    <w:uiPriority w:val="9"/>
    <w:pPr>
      <w:keepNext/>
      <w:keepLines/>
      <w:spacing w:before="260" w:after="260" w:line="416" w:lineRule="auto"/>
      <w:ind w:left="840" w:hanging="420"/>
      <w:outlineLvl w:val="1"/>
    </w:pPr>
    <w:rPr>
      <w:rFonts w:ascii="Cambria" w:hAnsi="Cambria"/>
      <w:b/>
      <w:bCs/>
      <w:kern w:val="0"/>
      <w:sz w:val="30"/>
      <w:szCs w:val="32"/>
      <w:lang w:val="zh-CN"/>
    </w:rPr>
  </w:style>
  <w:style w:type="paragraph" w:customStyle="1" w:styleId="97">
    <w:name w:val="正文_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98">
    <w:name w:val="纯文本 Char_3"/>
    <w:link w:val="99"/>
    <w:autoRedefine/>
    <w:qFormat/>
    <w:uiPriority w:val="0"/>
    <w:rPr>
      <w:rFonts w:ascii="宋体" w:hAnsi="Courier New" w:eastAsia="宋体" w:cs="Times New Roman"/>
    </w:rPr>
  </w:style>
  <w:style w:type="paragraph" w:customStyle="1" w:styleId="99">
    <w:name w:val="纯文本_2"/>
    <w:basedOn w:val="100"/>
    <w:link w:val="98"/>
    <w:autoRedefine/>
    <w:qFormat/>
    <w:uiPriority w:val="0"/>
    <w:rPr>
      <w:rFonts w:ascii="宋体" w:hAnsi="Courier New"/>
      <w:kern w:val="0"/>
      <w:sz w:val="20"/>
      <w:szCs w:val="20"/>
    </w:rPr>
  </w:style>
  <w:style w:type="paragraph" w:customStyle="1" w:styleId="100">
    <w:name w:val="正文_3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1">
    <w:name w:val="wf1"/>
    <w:autoRedefine/>
    <w:qFormat/>
    <w:uiPriority w:val="0"/>
    <w:rPr>
      <w:rFonts w:hint="eastAsia" w:ascii="宋体" w:hAnsi="宋体" w:eastAsia="宋体"/>
      <w:sz w:val="24"/>
      <w:szCs w:val="24"/>
    </w:rPr>
  </w:style>
  <w:style w:type="paragraph" w:customStyle="1" w:styleId="102">
    <w:name w:val="标题 1_0"/>
    <w:basedOn w:val="97"/>
    <w:next w:val="97"/>
    <w:autoRedefine/>
    <w:qFormat/>
    <w:uiPriority w:val="9"/>
    <w:pPr>
      <w:keepNext/>
      <w:keepLines/>
      <w:spacing w:before="120" w:after="120" w:line="360" w:lineRule="auto"/>
      <w:ind w:hanging="431" w:hangingChars="205"/>
      <w:outlineLvl w:val="0"/>
    </w:pPr>
    <w:rPr>
      <w:b/>
      <w:bCs/>
      <w:kern w:val="44"/>
      <w:sz w:val="32"/>
      <w:szCs w:val="44"/>
      <w:lang w:val="zh-CN"/>
    </w:rPr>
  </w:style>
  <w:style w:type="paragraph" w:customStyle="1" w:styleId="103">
    <w:name w:val="标题 9_0"/>
    <w:basedOn w:val="97"/>
    <w:next w:val="97"/>
    <w:unhideWhenUsed/>
    <w:qFormat/>
    <w:uiPriority w:val="9"/>
    <w:pPr>
      <w:keepNext/>
      <w:keepLines/>
      <w:spacing w:before="240" w:after="64" w:line="320" w:lineRule="auto"/>
      <w:ind w:left="3780" w:hanging="420"/>
      <w:outlineLvl w:val="8"/>
    </w:pPr>
    <w:rPr>
      <w:rFonts w:ascii="Cambria" w:hAnsi="Cambria"/>
      <w:kern w:val="0"/>
      <w:sz w:val="20"/>
      <w:szCs w:val="21"/>
      <w:lang w:val="zh-CN"/>
    </w:rPr>
  </w:style>
  <w:style w:type="paragraph" w:customStyle="1" w:styleId="104">
    <w:name w:val="标题 7_0"/>
    <w:basedOn w:val="97"/>
    <w:next w:val="97"/>
    <w:autoRedefine/>
    <w:unhideWhenUsed/>
    <w:qFormat/>
    <w:uiPriority w:val="9"/>
    <w:pPr>
      <w:keepNext/>
      <w:keepLines/>
      <w:spacing w:before="240" w:after="64" w:line="320" w:lineRule="auto"/>
      <w:ind w:left="2940" w:hanging="420"/>
      <w:outlineLvl w:val="6"/>
    </w:pPr>
    <w:rPr>
      <w:b/>
      <w:bCs/>
      <w:kern w:val="0"/>
      <w:sz w:val="24"/>
      <w:szCs w:val="24"/>
      <w:lang w:val="zh-CN"/>
    </w:rPr>
  </w:style>
  <w:style w:type="character" w:customStyle="1" w:styleId="105">
    <w:name w:val="纯文本 Char_2"/>
    <w:link w:val="106"/>
    <w:qFormat/>
    <w:locked/>
    <w:uiPriority w:val="0"/>
    <w:rPr>
      <w:rFonts w:ascii="宋体" w:hAnsi="Courier New" w:cs="Courier New"/>
      <w:szCs w:val="21"/>
    </w:rPr>
  </w:style>
  <w:style w:type="paragraph" w:customStyle="1" w:styleId="106">
    <w:name w:val="纯文本_1"/>
    <w:basedOn w:val="107"/>
    <w:link w:val="105"/>
    <w:unhideWhenUsed/>
    <w:qFormat/>
    <w:uiPriority w:val="0"/>
    <w:pPr>
      <w:widowControl/>
      <w:jc w:val="left"/>
    </w:pPr>
    <w:rPr>
      <w:rFonts w:ascii="宋体" w:hAnsi="Courier New" w:cs="Courier New" w:eastAsiaTheme="minorEastAsia"/>
      <w:kern w:val="0"/>
      <w:sz w:val="20"/>
      <w:szCs w:val="21"/>
    </w:rPr>
  </w:style>
  <w:style w:type="paragraph" w:customStyle="1" w:styleId="107">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8">
    <w:name w:val="标题 8_0"/>
    <w:basedOn w:val="97"/>
    <w:next w:val="97"/>
    <w:autoRedefine/>
    <w:unhideWhenUsed/>
    <w:qFormat/>
    <w:uiPriority w:val="9"/>
    <w:pPr>
      <w:keepNext/>
      <w:keepLines/>
      <w:spacing w:before="240" w:after="64" w:line="320" w:lineRule="auto"/>
      <w:ind w:left="3360" w:hanging="420"/>
      <w:outlineLvl w:val="7"/>
    </w:pPr>
    <w:rPr>
      <w:rFonts w:ascii="Cambria" w:hAnsi="Cambria"/>
      <w:kern w:val="0"/>
      <w:sz w:val="24"/>
      <w:szCs w:val="24"/>
      <w:lang w:val="zh-CN"/>
    </w:rPr>
  </w:style>
  <w:style w:type="paragraph" w:customStyle="1" w:styleId="109">
    <w:name w:val="标题 3_1"/>
    <w:basedOn w:val="97"/>
    <w:next w:val="97"/>
    <w:autoRedefine/>
    <w:unhideWhenUsed/>
    <w:qFormat/>
    <w:uiPriority w:val="9"/>
    <w:pPr>
      <w:keepNext/>
      <w:keepLines/>
      <w:spacing w:before="260" w:after="260" w:line="416" w:lineRule="auto"/>
      <w:ind w:left="1260" w:hanging="420"/>
      <w:outlineLvl w:val="2"/>
    </w:pPr>
    <w:rPr>
      <w:b/>
      <w:bCs/>
      <w:kern w:val="0"/>
      <w:sz w:val="32"/>
      <w:szCs w:val="32"/>
      <w:lang w:val="zh-CN"/>
    </w:rPr>
  </w:style>
  <w:style w:type="character" w:customStyle="1" w:styleId="110">
    <w:name w:val="ll1"/>
    <w:autoRedefine/>
    <w:qFormat/>
    <w:uiPriority w:val="0"/>
    <w:rPr>
      <w:spacing w:val="31680"/>
    </w:rPr>
  </w:style>
  <w:style w:type="character" w:customStyle="1" w:styleId="111">
    <w:name w:val="纯文本 Char_0"/>
    <w:link w:val="112"/>
    <w:autoRedefine/>
    <w:qFormat/>
    <w:locked/>
    <w:uiPriority w:val="0"/>
    <w:rPr>
      <w:rFonts w:ascii="宋体" w:hAnsi="Courier New" w:cs="Courier New"/>
      <w:szCs w:val="21"/>
    </w:rPr>
  </w:style>
  <w:style w:type="paragraph" w:customStyle="1" w:styleId="112">
    <w:name w:val="纯文本_0"/>
    <w:basedOn w:val="97"/>
    <w:link w:val="111"/>
    <w:autoRedefine/>
    <w:unhideWhenUsed/>
    <w:qFormat/>
    <w:uiPriority w:val="0"/>
    <w:pPr>
      <w:widowControl/>
      <w:jc w:val="left"/>
    </w:pPr>
    <w:rPr>
      <w:rFonts w:ascii="宋体" w:hAnsi="Courier New" w:cs="Courier New" w:eastAsiaTheme="minorEastAsia"/>
      <w:kern w:val="0"/>
      <w:sz w:val="20"/>
      <w:szCs w:val="21"/>
    </w:rPr>
  </w:style>
  <w:style w:type="paragraph" w:customStyle="1" w:styleId="113">
    <w:name w:val="标题 4_1"/>
    <w:basedOn w:val="97"/>
    <w:next w:val="97"/>
    <w:unhideWhenUsed/>
    <w:qFormat/>
    <w:uiPriority w:val="9"/>
    <w:pPr>
      <w:keepNext/>
      <w:keepLines/>
      <w:spacing w:before="280" w:after="290" w:line="376" w:lineRule="auto"/>
      <w:ind w:left="1680" w:hanging="420"/>
      <w:outlineLvl w:val="3"/>
    </w:pPr>
    <w:rPr>
      <w:rFonts w:ascii="Cambria" w:hAnsi="Cambria"/>
      <w:b/>
      <w:bCs/>
      <w:kern w:val="0"/>
      <w:sz w:val="28"/>
      <w:szCs w:val="28"/>
      <w:lang w:val="zh-CN"/>
    </w:rPr>
  </w:style>
  <w:style w:type="character" w:customStyle="1" w:styleId="114">
    <w:name w:val="正文缩进 Char_0"/>
    <w:link w:val="115"/>
    <w:autoRedefine/>
    <w:qFormat/>
    <w:uiPriority w:val="0"/>
    <w:rPr>
      <w:rFonts w:ascii="Times New Roman" w:hAnsi="Times New Roman" w:eastAsia="宋体" w:cs="Times New Roman"/>
    </w:rPr>
  </w:style>
  <w:style w:type="paragraph" w:customStyle="1" w:styleId="115">
    <w:name w:val="正文缩进_0"/>
    <w:basedOn w:val="116"/>
    <w:link w:val="114"/>
    <w:qFormat/>
    <w:uiPriority w:val="0"/>
    <w:pPr>
      <w:ind w:firstLine="420"/>
    </w:pPr>
    <w:rPr>
      <w:kern w:val="0"/>
      <w:sz w:val="20"/>
      <w:szCs w:val="20"/>
    </w:rPr>
  </w:style>
  <w:style w:type="paragraph" w:customStyle="1" w:styleId="116">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17">
    <w:name w:val="正文缩进 Char_0_0"/>
    <w:link w:val="118"/>
    <w:qFormat/>
    <w:uiPriority w:val="0"/>
    <w:rPr>
      <w:rFonts w:ascii="Times New Roman" w:hAnsi="Times New Roman" w:eastAsia="宋体" w:cs="Times New Roman"/>
    </w:rPr>
  </w:style>
  <w:style w:type="paragraph" w:customStyle="1" w:styleId="118">
    <w:name w:val="正文缩进_0_0"/>
    <w:basedOn w:val="52"/>
    <w:link w:val="117"/>
    <w:qFormat/>
    <w:uiPriority w:val="0"/>
    <w:pPr>
      <w:ind w:firstLine="420"/>
    </w:pPr>
    <w:rPr>
      <w:rFonts w:ascii="Times New Roman" w:hAnsi="Times New Roman"/>
      <w:kern w:val="0"/>
      <w:sz w:val="20"/>
      <w:szCs w:val="20"/>
    </w:rPr>
  </w:style>
  <w:style w:type="character" w:customStyle="1" w:styleId="119">
    <w:name w:val="纯文本 Char_1"/>
    <w:link w:val="120"/>
    <w:qFormat/>
    <w:locked/>
    <w:uiPriority w:val="0"/>
    <w:rPr>
      <w:rFonts w:ascii="宋体" w:hAnsi="Courier New" w:cs="Courier New"/>
      <w:szCs w:val="21"/>
    </w:rPr>
  </w:style>
  <w:style w:type="paragraph" w:customStyle="1" w:styleId="120">
    <w:name w:val="纯文本1"/>
    <w:basedOn w:val="121"/>
    <w:link w:val="119"/>
    <w:qFormat/>
    <w:uiPriority w:val="0"/>
    <w:rPr>
      <w:rFonts w:ascii="宋体" w:hAnsi="Courier New" w:cs="Courier New" w:eastAsiaTheme="minorEastAsia"/>
      <w:sz w:val="20"/>
      <w:szCs w:val="21"/>
    </w:rPr>
  </w:style>
  <w:style w:type="paragraph" w:customStyle="1" w:styleId="121">
    <w:name w:val="Normal_5"/>
    <w:qFormat/>
    <w:uiPriority w:val="0"/>
    <w:rPr>
      <w:rFonts w:ascii="Times New Roman" w:hAnsi="Times New Roman" w:eastAsia="宋体" w:cs="Times New Roman"/>
      <w:sz w:val="21"/>
      <w:lang w:val="en-US" w:eastAsia="zh-CN" w:bidi="ar-SA"/>
    </w:rPr>
  </w:style>
  <w:style w:type="character" w:customStyle="1" w:styleId="122">
    <w:name w:val="p141"/>
    <w:qFormat/>
    <w:uiPriority w:val="0"/>
    <w:rPr>
      <w:sz w:val="21"/>
      <w:szCs w:val="21"/>
    </w:rPr>
  </w:style>
  <w:style w:type="character" w:customStyle="1" w:styleId="123">
    <w:name w:val="批注文字 Char1"/>
    <w:qFormat/>
    <w:uiPriority w:val="0"/>
    <w:rPr>
      <w:rFonts w:ascii="Tahoma" w:hAnsi="Tahoma"/>
      <w:kern w:val="2"/>
      <w:sz w:val="21"/>
    </w:rPr>
  </w:style>
  <w:style w:type="paragraph" w:customStyle="1" w:styleId="124">
    <w:name w:val="标题 5_0"/>
    <w:basedOn w:val="97"/>
    <w:next w:val="97"/>
    <w:unhideWhenUsed/>
    <w:qFormat/>
    <w:uiPriority w:val="9"/>
    <w:pPr>
      <w:keepNext/>
      <w:keepLines/>
      <w:spacing w:before="280" w:after="290" w:line="376" w:lineRule="auto"/>
      <w:ind w:left="2100" w:hanging="420"/>
      <w:outlineLvl w:val="4"/>
    </w:pPr>
    <w:rPr>
      <w:b/>
      <w:bCs/>
      <w:kern w:val="0"/>
      <w:sz w:val="28"/>
      <w:szCs w:val="28"/>
      <w:lang w:val="zh-CN"/>
    </w:rPr>
  </w:style>
  <w:style w:type="paragraph" w:customStyle="1" w:styleId="125">
    <w:name w:val="标题 6_0"/>
    <w:basedOn w:val="97"/>
    <w:next w:val="97"/>
    <w:unhideWhenUsed/>
    <w:qFormat/>
    <w:uiPriority w:val="9"/>
    <w:pPr>
      <w:keepNext/>
      <w:keepLines/>
      <w:spacing w:before="240" w:after="64" w:line="320" w:lineRule="auto"/>
      <w:ind w:left="2520" w:hanging="420"/>
      <w:outlineLvl w:val="5"/>
    </w:pPr>
    <w:rPr>
      <w:rFonts w:ascii="Cambria" w:hAnsi="Cambria"/>
      <w:b/>
      <w:bCs/>
      <w:kern w:val="0"/>
      <w:sz w:val="24"/>
      <w:szCs w:val="24"/>
      <w:lang w:val="zh-CN"/>
    </w:rPr>
  </w:style>
  <w:style w:type="paragraph" w:customStyle="1" w:styleId="126">
    <w:name w:val="Char Char"/>
    <w:basedOn w:val="1"/>
    <w:qFormat/>
    <w:uiPriority w:val="0"/>
    <w:rPr>
      <w:rFonts w:ascii="Tahoma" w:hAnsi="Tahoma"/>
      <w:sz w:val="24"/>
    </w:rPr>
  </w:style>
  <w:style w:type="paragraph" w:customStyle="1" w:styleId="127">
    <w:name w:val="xl44"/>
    <w:basedOn w:val="1"/>
    <w:autoRedefine/>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sz w:val="36"/>
      <w:szCs w:val="36"/>
    </w:rPr>
  </w:style>
  <w:style w:type="paragraph" w:customStyle="1" w:styleId="128">
    <w:name w:val="xl43"/>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b/>
      <w:bCs/>
      <w:sz w:val="36"/>
      <w:szCs w:val="36"/>
    </w:rPr>
  </w:style>
  <w:style w:type="paragraph" w:customStyle="1" w:styleId="129">
    <w:name w:val="xl32"/>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4"/>
      <w:szCs w:val="24"/>
    </w:rPr>
  </w:style>
  <w:style w:type="paragraph" w:customStyle="1" w:styleId="130">
    <w:name w:val="font8"/>
    <w:basedOn w:val="1"/>
    <w:autoRedefine/>
    <w:qFormat/>
    <w:uiPriority w:val="0"/>
    <w:pPr>
      <w:spacing w:before="100" w:beforeAutospacing="1" w:after="100" w:afterAutospacing="1"/>
    </w:pPr>
    <w:rPr>
      <w:b/>
      <w:bCs/>
      <w:sz w:val="36"/>
      <w:szCs w:val="36"/>
    </w:rPr>
  </w:style>
  <w:style w:type="paragraph" w:customStyle="1" w:styleId="131">
    <w:name w:val="font6"/>
    <w:basedOn w:val="1"/>
    <w:qFormat/>
    <w:uiPriority w:val="0"/>
    <w:pPr>
      <w:spacing w:before="100" w:beforeAutospacing="1" w:after="100" w:afterAutospacing="1"/>
    </w:pPr>
    <w:rPr>
      <w:sz w:val="24"/>
      <w:szCs w:val="24"/>
    </w:rPr>
  </w:style>
  <w:style w:type="paragraph" w:customStyle="1" w:styleId="132">
    <w:name w:val="font0"/>
    <w:basedOn w:val="1"/>
    <w:qFormat/>
    <w:uiPriority w:val="0"/>
    <w:pPr>
      <w:spacing w:before="100" w:beforeAutospacing="1" w:after="100" w:afterAutospacing="1"/>
    </w:pPr>
    <w:rPr>
      <w:rFonts w:ascii="宋体" w:hAnsi="宋体" w:cs="宋体"/>
      <w:sz w:val="24"/>
      <w:szCs w:val="24"/>
    </w:rPr>
  </w:style>
  <w:style w:type="paragraph" w:customStyle="1" w:styleId="133">
    <w:name w:val="c03"/>
    <w:basedOn w:val="1"/>
    <w:qFormat/>
    <w:uiPriority w:val="0"/>
    <w:pPr>
      <w:spacing w:before="100" w:beforeAutospacing="1" w:after="100" w:afterAutospacing="1"/>
    </w:pPr>
    <w:rPr>
      <w:rFonts w:ascii="宋体" w:hAnsi="宋体"/>
      <w:color w:val="000000"/>
      <w:sz w:val="24"/>
      <w:szCs w:val="24"/>
    </w:rPr>
  </w:style>
  <w:style w:type="paragraph" w:customStyle="1" w:styleId="134">
    <w:name w:val="xl35"/>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sz w:val="24"/>
      <w:szCs w:val="24"/>
    </w:rPr>
  </w:style>
  <w:style w:type="paragraph" w:styleId="135">
    <w:name w:val="List Paragraph"/>
    <w:basedOn w:val="136"/>
    <w:link w:val="137"/>
    <w:qFormat/>
    <w:uiPriority w:val="0"/>
    <w:pPr>
      <w:ind w:firstLine="420" w:firstLineChars="200"/>
    </w:pPr>
    <w:rPr>
      <w:rFonts w:ascii="Calibri" w:hAnsi="Calibri"/>
    </w:rPr>
  </w:style>
  <w:style w:type="paragraph" w:customStyle="1" w:styleId="136">
    <w:name w:val="Normal_12"/>
    <w:qFormat/>
    <w:uiPriority w:val="0"/>
    <w:rPr>
      <w:rFonts w:ascii="Times New Roman" w:hAnsi="Times New Roman" w:eastAsia="宋体" w:cs="Times New Roman"/>
      <w:sz w:val="21"/>
      <w:lang w:val="en-US" w:eastAsia="zh-CN" w:bidi="ar-SA"/>
    </w:rPr>
  </w:style>
  <w:style w:type="character" w:customStyle="1" w:styleId="137">
    <w:name w:val="列表段落 字符"/>
    <w:link w:val="135"/>
    <w:qFormat/>
    <w:uiPriority w:val="0"/>
    <w:rPr>
      <w:rFonts w:ascii="Calibri" w:hAnsi="Calibri" w:eastAsia="宋体" w:cs="Times New Roman"/>
      <w:sz w:val="21"/>
      <w:lang w:val="en-US" w:eastAsia="zh-CN"/>
    </w:rPr>
  </w:style>
  <w:style w:type="paragraph" w:customStyle="1" w:styleId="138">
    <w:name w:val="f12pt1"/>
    <w:basedOn w:val="1"/>
    <w:qFormat/>
    <w:uiPriority w:val="0"/>
    <w:pPr>
      <w:spacing w:before="100" w:beforeAutospacing="1" w:after="100" w:afterAutospacing="1"/>
    </w:pPr>
    <w:rPr>
      <w:rFonts w:ascii="_GB2312" w:hAnsi="_GB2312"/>
      <w:color w:val="000000"/>
      <w:szCs w:val="21"/>
    </w:rPr>
  </w:style>
  <w:style w:type="paragraph" w:customStyle="1" w:styleId="139">
    <w:name w:val="Char Char Char Char Char Char Char Char Char Char"/>
    <w:basedOn w:val="1"/>
    <w:qFormat/>
    <w:uiPriority w:val="0"/>
    <w:rPr>
      <w:rFonts w:ascii="Tahoma" w:hAnsi="Tahoma"/>
      <w:sz w:val="24"/>
    </w:rPr>
  </w:style>
  <w:style w:type="paragraph" w:customStyle="1" w:styleId="140">
    <w:name w:val="f14"/>
    <w:basedOn w:val="1"/>
    <w:qFormat/>
    <w:uiPriority w:val="0"/>
    <w:pPr>
      <w:spacing w:before="100" w:beforeAutospacing="1" w:after="100" w:afterAutospacing="1"/>
    </w:pPr>
    <w:rPr>
      <w:rFonts w:ascii="_GB2312" w:hAnsi="_GB2312"/>
      <w:color w:val="000000"/>
      <w:sz w:val="28"/>
      <w:szCs w:val="28"/>
    </w:rPr>
  </w:style>
  <w:style w:type="paragraph" w:customStyle="1" w:styleId="141">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2">
    <w:name w:val="正文_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3">
    <w:name w:val="f12"/>
    <w:basedOn w:val="1"/>
    <w:autoRedefine/>
    <w:qFormat/>
    <w:uiPriority w:val="0"/>
    <w:pPr>
      <w:spacing w:before="100" w:beforeAutospacing="1" w:after="100" w:afterAutospacing="1"/>
    </w:pPr>
    <w:rPr>
      <w:rFonts w:ascii="_GB2312" w:hAnsi="_GB2312"/>
      <w:color w:val="000000"/>
      <w:szCs w:val="21"/>
    </w:rPr>
  </w:style>
  <w:style w:type="paragraph" w:customStyle="1" w:styleId="144">
    <w:name w:val="xl45"/>
    <w:basedOn w:val="1"/>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cs="宋体"/>
      <w:b/>
      <w:bCs/>
      <w:sz w:val="36"/>
      <w:szCs w:val="36"/>
    </w:rPr>
  </w:style>
  <w:style w:type="paragraph" w:customStyle="1" w:styleId="145">
    <w:name w:val="1"/>
    <w:basedOn w:val="1"/>
    <w:next w:val="21"/>
    <w:qFormat/>
    <w:uiPriority w:val="0"/>
    <w:rPr>
      <w:rFonts w:ascii="宋体" w:hAnsi="Courier New"/>
    </w:rPr>
  </w:style>
  <w:style w:type="paragraph" w:customStyle="1" w:styleId="146">
    <w:name w:val="xl40"/>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pPr>
    <w:rPr>
      <w:rFonts w:ascii="宋体" w:hAnsi="宋体" w:cs="宋体"/>
      <w:sz w:val="24"/>
      <w:szCs w:val="24"/>
    </w:rPr>
  </w:style>
  <w:style w:type="paragraph" w:customStyle="1" w:styleId="147">
    <w:name w:val="正文2"/>
    <w:qFormat/>
    <w:uiPriority w:val="0"/>
    <w:pPr>
      <w:widowControl w:val="0"/>
      <w:jc w:val="both"/>
    </w:pPr>
    <w:rPr>
      <w:rFonts w:hint="eastAsia" w:ascii="Calibri" w:hAnsi="Calibri" w:eastAsia="宋体" w:cs="Times New Roman"/>
      <w:kern w:val="2"/>
      <w:sz w:val="21"/>
      <w:lang w:val="en-US" w:eastAsia="zh-CN" w:bidi="ar-SA"/>
    </w:rPr>
  </w:style>
  <w:style w:type="paragraph" w:customStyle="1" w:styleId="148">
    <w:name w:val="xl2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sz w:val="24"/>
      <w:szCs w:val="24"/>
    </w:rPr>
  </w:style>
  <w:style w:type="paragraph" w:customStyle="1" w:styleId="149">
    <w:name w:val="Char Char Char Char Char Char Char Char Char Char1"/>
    <w:basedOn w:val="1"/>
    <w:qFormat/>
    <w:uiPriority w:val="0"/>
    <w:rPr>
      <w:rFonts w:ascii="Tahoma" w:hAnsi="Tahoma"/>
      <w:sz w:val="24"/>
    </w:rPr>
  </w:style>
  <w:style w:type="paragraph" w:customStyle="1" w:styleId="150">
    <w:name w:val="Char"/>
    <w:basedOn w:val="1"/>
    <w:qFormat/>
    <w:uiPriority w:val="0"/>
    <w:rPr>
      <w:rFonts w:ascii="Tahoma" w:hAnsi="Tahoma"/>
      <w:sz w:val="24"/>
    </w:rPr>
  </w:style>
  <w:style w:type="paragraph" w:customStyle="1" w:styleId="151">
    <w:name w:val="xl33"/>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rFonts w:ascii="宋体" w:hAnsi="宋体" w:cs="宋体"/>
      <w:sz w:val="24"/>
      <w:szCs w:val="24"/>
    </w:rPr>
  </w:style>
  <w:style w:type="paragraph" w:customStyle="1" w:styleId="152">
    <w:name w:val="xl4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cs="宋体"/>
      <w:b/>
      <w:bCs/>
      <w:sz w:val="36"/>
      <w:szCs w:val="36"/>
    </w:rPr>
  </w:style>
  <w:style w:type="paragraph" w:customStyle="1" w:styleId="153">
    <w:name w:val="p0"/>
    <w:basedOn w:val="1"/>
    <w:qFormat/>
    <w:uiPriority w:val="0"/>
    <w:rPr>
      <w:szCs w:val="21"/>
    </w:rPr>
  </w:style>
  <w:style w:type="paragraph" w:customStyle="1" w:styleId="154">
    <w:name w:val="xl3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szCs w:val="24"/>
    </w:rPr>
  </w:style>
  <w:style w:type="paragraph" w:customStyle="1" w:styleId="155">
    <w:name w:val="修订2"/>
    <w:semiHidden/>
    <w:qFormat/>
    <w:uiPriority w:val="99"/>
    <w:rPr>
      <w:rFonts w:ascii="Times New Roman" w:hAnsi="Times New Roman" w:eastAsia="宋体" w:cs="Times New Roman"/>
      <w:sz w:val="21"/>
      <w:lang w:val="en-US" w:eastAsia="zh-CN" w:bidi="ar-SA"/>
    </w:rPr>
  </w:style>
  <w:style w:type="paragraph" w:customStyle="1" w:styleId="156">
    <w:name w:val="xl42"/>
    <w:basedOn w:val="1"/>
    <w:qFormat/>
    <w:uiPriority w:val="0"/>
    <w:pPr>
      <w:spacing w:before="100" w:beforeAutospacing="1" w:after="100" w:afterAutospacing="1"/>
      <w:textAlignment w:val="top"/>
    </w:pPr>
    <w:rPr>
      <w:rFonts w:ascii="宋体" w:hAnsi="宋体" w:cs="宋体"/>
      <w:sz w:val="24"/>
      <w:szCs w:val="24"/>
    </w:rPr>
  </w:style>
  <w:style w:type="paragraph" w:customStyle="1" w:styleId="157">
    <w:name w:val="1_0"/>
    <w:basedOn w:val="121"/>
    <w:next w:val="120"/>
    <w:qFormat/>
    <w:uiPriority w:val="0"/>
    <w:pPr>
      <w:widowControl w:val="0"/>
      <w:jc w:val="both"/>
    </w:pPr>
    <w:rPr>
      <w:rFonts w:ascii="宋体" w:hAnsi="Courier New"/>
      <w:kern w:val="2"/>
    </w:rPr>
  </w:style>
  <w:style w:type="paragraph" w:customStyle="1" w:styleId="158">
    <w:name w:val="Char Char1 Char Char Char Char Char Char Char Char Char Char"/>
    <w:basedOn w:val="1"/>
    <w:qFormat/>
    <w:uiPriority w:val="0"/>
    <w:rPr>
      <w:rFonts w:ascii="Tahoma" w:hAnsi="Tahoma"/>
      <w:sz w:val="24"/>
    </w:rPr>
  </w:style>
  <w:style w:type="paragraph" w:customStyle="1" w:styleId="159">
    <w:name w:val="xl4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b/>
      <w:bCs/>
      <w:sz w:val="36"/>
      <w:szCs w:val="36"/>
    </w:rPr>
  </w:style>
  <w:style w:type="paragraph" w:customStyle="1" w:styleId="160">
    <w:name w:val="TOC 标题1"/>
    <w:basedOn w:val="2"/>
    <w:next w:val="1"/>
    <w:qFormat/>
    <w:uiPriority w:val="39"/>
    <w:pPr>
      <w:spacing w:before="480" w:after="0" w:line="276" w:lineRule="auto"/>
      <w:outlineLvl w:val="9"/>
    </w:pPr>
    <w:rPr>
      <w:rFonts w:ascii="Cambria" w:hAnsi="Cambria"/>
      <w:color w:val="365F91"/>
      <w:kern w:val="0"/>
      <w:sz w:val="28"/>
      <w:szCs w:val="28"/>
    </w:rPr>
  </w:style>
  <w:style w:type="paragraph" w:customStyle="1" w:styleId="161">
    <w:name w:val="xl2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sz w:val="24"/>
      <w:szCs w:val="24"/>
    </w:rPr>
  </w:style>
  <w:style w:type="paragraph" w:customStyle="1" w:styleId="162">
    <w:name w:val="Char11"/>
    <w:basedOn w:val="1"/>
    <w:qFormat/>
    <w:uiPriority w:val="0"/>
    <w:pPr>
      <w:spacing w:after="160" w:line="240" w:lineRule="exact"/>
    </w:pPr>
    <w:rPr>
      <w:rFonts w:ascii="Verdana" w:hAnsi="Verdana"/>
      <w:lang w:eastAsia="en-US"/>
    </w:rPr>
  </w:style>
  <w:style w:type="paragraph" w:customStyle="1" w:styleId="163">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szCs w:val="24"/>
    </w:rPr>
  </w:style>
  <w:style w:type="paragraph" w:customStyle="1" w:styleId="164">
    <w:name w:val="xl4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sz w:val="36"/>
      <w:szCs w:val="36"/>
    </w:rPr>
  </w:style>
  <w:style w:type="paragraph" w:customStyle="1" w:styleId="165">
    <w:name w:val="xl36"/>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rFonts w:ascii="宋体" w:hAnsi="宋体" w:cs="宋体"/>
      <w:sz w:val="24"/>
      <w:szCs w:val="24"/>
    </w:rPr>
  </w:style>
  <w:style w:type="paragraph" w:customStyle="1" w:styleId="166">
    <w:name w:val="正文_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7">
    <w:name w:val="Char Char1 Char Char Char Char Char Char Char Char Char Char1"/>
    <w:basedOn w:val="1"/>
    <w:qFormat/>
    <w:uiPriority w:val="0"/>
    <w:rPr>
      <w:rFonts w:ascii="Tahoma" w:hAnsi="Tahoma"/>
      <w:sz w:val="24"/>
    </w:rPr>
  </w:style>
  <w:style w:type="paragraph" w:customStyle="1" w:styleId="168">
    <w:name w:val="xl24"/>
    <w:basedOn w:val="1"/>
    <w:qFormat/>
    <w:uiPriority w:val="0"/>
    <w:pPr>
      <w:spacing w:before="100" w:beforeAutospacing="1" w:after="100" w:afterAutospacing="1"/>
      <w:jc w:val="center"/>
    </w:pPr>
    <w:rPr>
      <w:rFonts w:ascii="宋体" w:hAnsi="宋体" w:cs="宋体"/>
      <w:sz w:val="24"/>
      <w:szCs w:val="24"/>
    </w:rPr>
  </w:style>
  <w:style w:type="paragraph" w:customStyle="1" w:styleId="169">
    <w:name w:val="Normal_2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0">
    <w:name w:val="130"/>
    <w:basedOn w:val="1"/>
    <w:qFormat/>
    <w:uiPriority w:val="0"/>
    <w:pPr>
      <w:spacing w:before="100" w:beforeAutospacing="1" w:after="100" w:afterAutospacing="1" w:line="324" w:lineRule="auto"/>
    </w:pPr>
    <w:rPr>
      <w:rFonts w:ascii="宋体" w:hAnsi="宋体"/>
      <w:color w:val="000000"/>
      <w:sz w:val="24"/>
      <w:szCs w:val="24"/>
    </w:rPr>
  </w:style>
  <w:style w:type="paragraph" w:customStyle="1" w:styleId="171">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
    <w:name w:val="xl25"/>
    <w:basedOn w:val="1"/>
    <w:qFormat/>
    <w:uiPriority w:val="0"/>
    <w:pPr>
      <w:spacing w:before="100" w:beforeAutospacing="1" w:after="100" w:afterAutospacing="1"/>
      <w:jc w:val="right"/>
    </w:pPr>
    <w:rPr>
      <w:sz w:val="24"/>
      <w:szCs w:val="24"/>
    </w:rPr>
  </w:style>
  <w:style w:type="paragraph" w:customStyle="1" w:styleId="173">
    <w:name w:val="正文_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4">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4"/>
      <w:szCs w:val="24"/>
    </w:rPr>
  </w:style>
  <w:style w:type="paragraph" w:customStyle="1" w:styleId="175">
    <w:name w:val="Normal_17"/>
    <w:qFormat/>
    <w:uiPriority w:val="0"/>
    <w:rPr>
      <w:rFonts w:ascii="Times New Roman" w:hAnsi="Times New Roman" w:eastAsia="宋体" w:cs="Times New Roman"/>
      <w:sz w:val="21"/>
      <w:lang w:val="en-US" w:eastAsia="zh-CN" w:bidi="ar-SA"/>
    </w:rPr>
  </w:style>
  <w:style w:type="paragraph" w:customStyle="1" w:styleId="176">
    <w:name w:val="需求书2"/>
    <w:basedOn w:val="1"/>
    <w:qFormat/>
    <w:uiPriority w:val="0"/>
    <w:rPr>
      <w:rFonts w:ascii="宋体" w:hAnsi="宋体"/>
      <w:b/>
      <w:spacing w:val="10"/>
      <w:sz w:val="24"/>
      <w:szCs w:val="24"/>
    </w:rPr>
  </w:style>
  <w:style w:type="paragraph" w:customStyle="1" w:styleId="177">
    <w:name w:val="xl4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4"/>
      <w:szCs w:val="24"/>
    </w:rPr>
  </w:style>
  <w:style w:type="paragraph" w:customStyle="1" w:styleId="178">
    <w:name w:val="正文_8"/>
    <w:qFormat/>
    <w:uiPriority w:val="0"/>
    <w:rPr>
      <w:rFonts w:ascii="Times New Roman" w:hAnsi="Times New Roman" w:eastAsia="宋体" w:cs="Times New Roman"/>
      <w:sz w:val="21"/>
      <w:lang w:val="en-US" w:eastAsia="zh-CN" w:bidi="ar-SA"/>
    </w:rPr>
  </w:style>
  <w:style w:type="paragraph" w:customStyle="1" w:styleId="179">
    <w:name w:val="样式1"/>
    <w:basedOn w:val="3"/>
    <w:qFormat/>
    <w:uiPriority w:val="0"/>
    <w:pPr>
      <w:tabs>
        <w:tab w:val="left" w:pos="420"/>
      </w:tabs>
      <w:ind w:left="420" w:hanging="420"/>
    </w:pPr>
    <w:rPr>
      <w:rFonts w:cs="Times New Roman"/>
      <w:b/>
    </w:rPr>
  </w:style>
  <w:style w:type="paragraph" w:customStyle="1" w:styleId="180">
    <w:name w:val="Char Char Char Char"/>
    <w:basedOn w:val="1"/>
    <w:qFormat/>
    <w:uiPriority w:val="0"/>
    <w:pPr>
      <w:tabs>
        <w:tab w:val="left" w:pos="965"/>
      </w:tabs>
      <w:spacing w:after="160" w:line="240" w:lineRule="exact"/>
      <w:ind w:left="1247" w:hanging="765"/>
    </w:pPr>
    <w:rPr>
      <w:rFonts w:ascii="Verdana" w:hAnsi="Verdana"/>
      <w:lang w:eastAsia="en-US"/>
    </w:rPr>
  </w:style>
  <w:style w:type="paragraph" w:customStyle="1" w:styleId="181">
    <w:name w:val="f11"/>
    <w:basedOn w:val="1"/>
    <w:qFormat/>
    <w:uiPriority w:val="0"/>
    <w:pPr>
      <w:spacing w:before="100" w:beforeAutospacing="1" w:after="100" w:afterAutospacing="1" w:line="320" w:lineRule="atLeast"/>
    </w:pPr>
    <w:rPr>
      <w:rFonts w:ascii="_GB2312" w:hAnsi="_GB2312"/>
      <w:color w:val="000000"/>
      <w:sz w:val="28"/>
      <w:szCs w:val="28"/>
    </w:rPr>
  </w:style>
  <w:style w:type="paragraph" w:customStyle="1" w:styleId="182">
    <w:name w:val="正文缩近"/>
    <w:basedOn w:val="1"/>
    <w:autoRedefine/>
    <w:qFormat/>
    <w:uiPriority w:val="0"/>
    <w:pPr>
      <w:spacing w:line="360" w:lineRule="auto"/>
      <w:ind w:firstLine="200" w:firstLineChars="200"/>
    </w:pPr>
    <w:rPr>
      <w:sz w:val="24"/>
      <w:szCs w:val="24"/>
    </w:rPr>
  </w:style>
  <w:style w:type="paragraph" w:customStyle="1" w:styleId="183">
    <w:name w:val="Char1 Char"/>
    <w:basedOn w:val="1"/>
    <w:qFormat/>
    <w:uiPriority w:val="0"/>
    <w:pPr>
      <w:ind w:left="425" w:hanging="425"/>
    </w:pPr>
    <w:rPr>
      <w:sz w:val="24"/>
      <w:szCs w:val="24"/>
    </w:rPr>
  </w:style>
  <w:style w:type="paragraph" w:customStyle="1" w:styleId="184">
    <w:name w:val="xl37"/>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pPr>
    <w:rPr>
      <w:rFonts w:ascii="宋体" w:hAnsi="宋体" w:cs="宋体"/>
      <w:sz w:val="24"/>
      <w:szCs w:val="24"/>
    </w:rPr>
  </w:style>
  <w:style w:type="paragraph" w:customStyle="1" w:styleId="185">
    <w:name w:val="Char Char Char Char Char Char1 Char Char Char Char"/>
    <w:basedOn w:val="1"/>
    <w:qFormat/>
    <w:uiPriority w:val="0"/>
    <w:pPr>
      <w:tabs>
        <w:tab w:val="left" w:pos="360"/>
      </w:tabs>
      <w:spacing w:after="160" w:line="240" w:lineRule="exact"/>
    </w:pPr>
    <w:rPr>
      <w:sz w:val="24"/>
      <w:szCs w:val="24"/>
    </w:rPr>
  </w:style>
  <w:style w:type="paragraph" w:customStyle="1" w:styleId="186">
    <w:name w:val="Char Char Char Char Char1 Char"/>
    <w:basedOn w:val="1"/>
    <w:qFormat/>
    <w:uiPriority w:val="0"/>
    <w:rPr>
      <w:rFonts w:ascii="Tahoma" w:hAnsi="Tahoma"/>
      <w:sz w:val="24"/>
    </w:rPr>
  </w:style>
  <w:style w:type="paragraph" w:customStyle="1" w:styleId="187">
    <w:name w:val="135"/>
    <w:basedOn w:val="1"/>
    <w:qFormat/>
    <w:uiPriority w:val="0"/>
    <w:pPr>
      <w:spacing w:before="100" w:beforeAutospacing="1" w:after="100" w:afterAutospacing="1" w:line="360" w:lineRule="auto"/>
    </w:pPr>
    <w:rPr>
      <w:rFonts w:ascii="宋体" w:hAnsi="宋体"/>
      <w:color w:val="000000"/>
      <w:sz w:val="24"/>
      <w:szCs w:val="24"/>
    </w:rPr>
  </w:style>
  <w:style w:type="paragraph" w:customStyle="1" w:styleId="188">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4"/>
      <w:szCs w:val="24"/>
    </w:rPr>
  </w:style>
  <w:style w:type="paragraph" w:customStyle="1" w:styleId="189">
    <w:name w:val="150"/>
    <w:basedOn w:val="1"/>
    <w:qFormat/>
    <w:uiPriority w:val="0"/>
    <w:pPr>
      <w:spacing w:before="100" w:beforeAutospacing="1" w:after="100" w:afterAutospacing="1" w:line="360" w:lineRule="auto"/>
    </w:pPr>
    <w:rPr>
      <w:rFonts w:ascii="宋体" w:hAnsi="宋体"/>
      <w:color w:val="000000"/>
      <w:sz w:val="24"/>
      <w:szCs w:val="24"/>
    </w:rPr>
  </w:style>
  <w:style w:type="paragraph" w:customStyle="1" w:styleId="190">
    <w:name w:val="font5"/>
    <w:basedOn w:val="1"/>
    <w:qFormat/>
    <w:uiPriority w:val="0"/>
    <w:pPr>
      <w:spacing w:before="100" w:beforeAutospacing="1" w:after="100" w:afterAutospacing="1"/>
    </w:pPr>
    <w:rPr>
      <w:rFonts w:ascii="宋体" w:hAnsi="宋体" w:cs="宋体"/>
      <w:sz w:val="18"/>
      <w:szCs w:val="18"/>
    </w:rPr>
  </w:style>
  <w:style w:type="paragraph" w:customStyle="1" w:styleId="191">
    <w:name w:val="f10"/>
    <w:basedOn w:val="1"/>
    <w:qFormat/>
    <w:uiPriority w:val="0"/>
    <w:pPr>
      <w:spacing w:before="100" w:beforeAutospacing="1" w:after="100" w:afterAutospacing="1" w:line="260" w:lineRule="atLeast"/>
    </w:pPr>
    <w:rPr>
      <w:rFonts w:ascii="_GB2312" w:hAnsi="_GB2312"/>
      <w:color w:val="000000"/>
      <w:sz w:val="18"/>
      <w:szCs w:val="18"/>
    </w:rPr>
  </w:style>
  <w:style w:type="paragraph" w:customStyle="1" w:styleId="192">
    <w:name w:val="图"/>
    <w:basedOn w:val="1"/>
    <w:qFormat/>
    <w:uiPriority w:val="0"/>
    <w:pPr>
      <w:keepNext/>
      <w:adjustRightInd w:val="0"/>
      <w:spacing w:before="60" w:after="60" w:line="300" w:lineRule="auto"/>
      <w:jc w:val="center"/>
      <w:textAlignment w:val="center"/>
    </w:pPr>
    <w:rPr>
      <w:snapToGrid w:val="0"/>
      <w:spacing w:val="20"/>
      <w:sz w:val="24"/>
    </w:rPr>
  </w:style>
  <w:style w:type="paragraph" w:customStyle="1" w:styleId="193">
    <w:name w:val="xl31"/>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rFonts w:ascii="宋体" w:hAnsi="宋体" w:cs="宋体"/>
      <w:sz w:val="24"/>
      <w:szCs w:val="24"/>
    </w:rPr>
  </w:style>
  <w:style w:type="paragraph" w:customStyle="1" w:styleId="194">
    <w:name w:val="Char1"/>
    <w:basedOn w:val="1"/>
    <w:qFormat/>
    <w:uiPriority w:val="0"/>
  </w:style>
  <w:style w:type="paragraph" w:customStyle="1" w:styleId="195">
    <w:name w:val="font7"/>
    <w:basedOn w:val="1"/>
    <w:qFormat/>
    <w:uiPriority w:val="0"/>
    <w:pPr>
      <w:spacing w:before="100" w:beforeAutospacing="1" w:after="100" w:afterAutospacing="1"/>
    </w:pPr>
    <w:rPr>
      <w:rFonts w:ascii="宋体" w:hAnsi="宋体" w:cs="宋体"/>
      <w:b/>
      <w:bCs/>
      <w:sz w:val="36"/>
      <w:szCs w:val="36"/>
    </w:rPr>
  </w:style>
  <w:style w:type="paragraph" w:customStyle="1" w:styleId="196">
    <w:name w:val="Normal_1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7">
    <w:name w:val="xl41"/>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pPr>
    <w:rPr>
      <w:rFonts w:ascii="宋体" w:hAnsi="宋体" w:cs="宋体"/>
      <w:sz w:val="24"/>
      <w:szCs w:val="24"/>
    </w:rPr>
  </w:style>
  <w:style w:type="paragraph" w:customStyle="1" w:styleId="198">
    <w:name w:val="xl34"/>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rFonts w:ascii="宋体" w:hAnsi="宋体" w:cs="宋体"/>
      <w:sz w:val="24"/>
      <w:szCs w:val="24"/>
    </w:rPr>
  </w:style>
  <w:style w:type="paragraph" w:customStyle="1" w:styleId="199">
    <w:name w:val="Normal_21"/>
    <w:qFormat/>
    <w:uiPriority w:val="0"/>
    <w:rPr>
      <w:rFonts w:ascii="Times New Roman" w:hAnsi="Times New Roman" w:eastAsia="宋体" w:cs="Times New Roman"/>
      <w:sz w:val="21"/>
      <w:lang w:val="en-US" w:eastAsia="zh-CN" w:bidi="ar-SA"/>
    </w:rPr>
  </w:style>
  <w:style w:type="paragraph" w:customStyle="1" w:styleId="200">
    <w:name w:val="xl39"/>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textAlignment w:val="top"/>
    </w:pPr>
    <w:rPr>
      <w:rFonts w:ascii="宋体" w:hAnsi="宋体" w:cs="宋体"/>
      <w:sz w:val="24"/>
      <w:szCs w:val="24"/>
    </w:rPr>
  </w:style>
  <w:style w:type="paragraph" w:customStyle="1" w:styleId="201">
    <w:name w:val="Heading 1_0"/>
    <w:basedOn w:val="59"/>
    <w:next w:val="59"/>
    <w:qFormat/>
    <w:uiPriority w:val="0"/>
    <w:pPr>
      <w:keepNext/>
      <w:keepLines/>
      <w:spacing w:before="340" w:after="330" w:line="576" w:lineRule="auto"/>
      <w:outlineLvl w:val="0"/>
    </w:pPr>
    <w:rPr>
      <w:rFonts w:hint="default"/>
      <w:b/>
      <w:bCs/>
      <w:kern w:val="44"/>
      <w:sz w:val="44"/>
      <w:szCs w:val="44"/>
    </w:rPr>
  </w:style>
  <w:style w:type="paragraph" w:customStyle="1" w:styleId="202">
    <w:name w:val="Normal_25"/>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3">
    <w:name w:val="Normal_29"/>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4">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5">
    <w:name w:val="正文_12"/>
    <w:qFormat/>
    <w:uiPriority w:val="0"/>
    <w:pPr>
      <w:widowControl w:val="0"/>
      <w:jc w:val="both"/>
    </w:pPr>
    <w:rPr>
      <w:rFonts w:ascii="Calibri" w:hAnsi="Calibri" w:eastAsia="宋体" w:cs="Times New Roman"/>
      <w:kern w:val="2"/>
      <w:sz w:val="21"/>
      <w:szCs w:val="22"/>
      <w:lang w:val="en-US" w:eastAsia="zh-CN" w:bidi="ar-SA"/>
    </w:rPr>
  </w:style>
  <w:style w:type="character" w:customStyle="1" w:styleId="206">
    <w:name w:val="font01"/>
    <w:qFormat/>
    <w:uiPriority w:val="0"/>
    <w:rPr>
      <w:rFonts w:hint="eastAsia" w:ascii="宋体" w:hAnsi="宋体" w:eastAsia="宋体" w:cs="宋体"/>
      <w:color w:val="000000"/>
      <w:sz w:val="20"/>
      <w:szCs w:val="20"/>
      <w:u w:val="none"/>
    </w:rPr>
  </w:style>
  <w:style w:type="character" w:customStyle="1" w:styleId="207">
    <w:name w:val="font21"/>
    <w:basedOn w:val="42"/>
    <w:qFormat/>
    <w:uiPriority w:val="0"/>
    <w:rPr>
      <w:rFonts w:ascii="Arial" w:hAnsi="Arial" w:cs="Arial"/>
      <w:color w:val="000000"/>
      <w:sz w:val="20"/>
      <w:szCs w:val="20"/>
      <w:u w:val="none"/>
    </w:rPr>
  </w:style>
  <w:style w:type="paragraph" w:customStyle="1" w:styleId="208">
    <w:name w:val="xl65"/>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20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10">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11">
    <w:name w:val="xl68"/>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212">
    <w:name w:val="xl69"/>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13">
    <w:name w:val="xl7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214">
    <w:name w:val="xl7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1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16">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17">
    <w:name w:val="xl7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18">
    <w:name w:val="xl7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19">
    <w:name w:val="xl76"/>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cs="宋体"/>
      <w:kern w:val="0"/>
      <w:sz w:val="20"/>
      <w:szCs w:val="20"/>
    </w:rPr>
  </w:style>
  <w:style w:type="paragraph" w:customStyle="1" w:styleId="220">
    <w:name w:val="xl7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21">
    <w:name w:val="xl78"/>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22">
    <w:name w:val="xl79"/>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character" w:customStyle="1" w:styleId="223">
    <w:name w:val="ask-title"/>
    <w:qFormat/>
    <w:uiPriority w:val="0"/>
  </w:style>
  <w:style w:type="character" w:customStyle="1" w:styleId="224">
    <w:name w:val="font31"/>
    <w:basedOn w:val="42"/>
    <w:qFormat/>
    <w:uiPriority w:val="0"/>
    <w:rPr>
      <w:rFonts w:hint="eastAsia" w:ascii="宋体" w:hAnsi="宋体" w:eastAsia="宋体" w:cs="宋体"/>
      <w:color w:val="000000"/>
      <w:sz w:val="20"/>
      <w:szCs w:val="20"/>
      <w:u w:val="none"/>
    </w:rPr>
  </w:style>
  <w:style w:type="character" w:customStyle="1" w:styleId="225">
    <w:name w:val="font11"/>
    <w:basedOn w:val="42"/>
    <w:qFormat/>
    <w:uiPriority w:val="0"/>
    <w:rPr>
      <w:rFonts w:hint="eastAsia" w:ascii="宋体" w:hAnsi="宋体" w:eastAsia="宋体" w:cs="宋体"/>
      <w:color w:val="000000"/>
      <w:sz w:val="20"/>
      <w:szCs w:val="20"/>
      <w:u w:val="none"/>
    </w:rPr>
  </w:style>
  <w:style w:type="character" w:customStyle="1" w:styleId="226">
    <w:name w:val="font91"/>
    <w:basedOn w:val="42"/>
    <w:autoRedefine/>
    <w:qFormat/>
    <w:uiPriority w:val="0"/>
    <w:rPr>
      <w:rFonts w:hint="default" w:ascii="Times New Roman" w:hAnsi="Times New Roman" w:cs="Times New Roman"/>
      <w:b/>
      <w:bCs/>
      <w:color w:val="000000"/>
      <w:sz w:val="18"/>
      <w:szCs w:val="18"/>
      <w:u w:val="none"/>
    </w:rPr>
  </w:style>
  <w:style w:type="character" w:customStyle="1" w:styleId="227">
    <w:name w:val="font101"/>
    <w:basedOn w:val="42"/>
    <w:autoRedefine/>
    <w:qFormat/>
    <w:uiPriority w:val="0"/>
    <w:rPr>
      <w:rFonts w:hint="default" w:ascii="Times New Roman" w:hAnsi="Times New Roman" w:cs="Times New Roman"/>
      <w:color w:val="000000"/>
      <w:sz w:val="18"/>
      <w:szCs w:val="18"/>
      <w:u w:val="none"/>
    </w:rPr>
  </w:style>
  <w:style w:type="character" w:customStyle="1" w:styleId="228">
    <w:name w:val="font41"/>
    <w:basedOn w:val="42"/>
    <w:autoRedefine/>
    <w:qFormat/>
    <w:uiPriority w:val="0"/>
    <w:rPr>
      <w:rFonts w:hint="default" w:ascii="Times New Roman" w:hAnsi="Times New Roman" w:cs="Times New Roman"/>
      <w:color w:val="000000"/>
      <w:sz w:val="18"/>
      <w:szCs w:val="18"/>
      <w:u w:val="none"/>
    </w:rPr>
  </w:style>
  <w:style w:type="character" w:customStyle="1" w:styleId="229">
    <w:name w:val="正文文本 字符"/>
    <w:basedOn w:val="42"/>
    <w:link w:val="17"/>
    <w:qFormat/>
    <w:uiPriority w:val="0"/>
    <w:rPr>
      <w:rFonts w:hint="default" w:ascii="Calibri" w:hAnsi="Calibri" w:cs="Calibri"/>
      <w:kern w:val="2"/>
      <w:sz w:val="21"/>
      <w:szCs w:val="22"/>
    </w:rPr>
  </w:style>
  <w:style w:type="paragraph" w:customStyle="1" w:styleId="230">
    <w:name w:val="Table Text"/>
    <w:basedOn w:val="1"/>
    <w:semiHidden/>
    <w:qFormat/>
    <w:uiPriority w:val="0"/>
    <w:rPr>
      <w:rFonts w:ascii="宋体" w:hAnsi="宋体" w:eastAsia="宋体" w:cs="宋体"/>
      <w:sz w:val="22"/>
      <w:szCs w:val="22"/>
      <w:lang w:val="en-US" w:eastAsia="en-US" w:bidi="ar-SA"/>
    </w:rPr>
  </w:style>
  <w:style w:type="table" w:customStyle="1" w:styleId="23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19</Pages>
  <Words>6139</Words>
  <Characters>6282</Characters>
  <Lines>1</Lines>
  <Paragraphs>1</Paragraphs>
  <TotalTime>14</TotalTime>
  <ScaleCrop>false</ScaleCrop>
  <LinksUpToDate>false</LinksUpToDate>
  <CharactersWithSpaces>6406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2023-04-04T07:59:00Z</dcterms:created>
  <dc:creator>China</dc:creator>
  <cp:lastModifiedBy>hx</cp:lastModifiedBy>
  <cp:lastPrinted>2023-04-21T01:02:00Z</cp:lastPrinted>
  <dcterms:modified xsi:type="dcterms:W3CDTF">2026-01-29T06:31:46Z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112BF004295E4B61B193949E228A6291_13</vt:lpwstr>
  </property>
  <property fmtid="{D5CDD505-2E9C-101B-9397-08002B2CF9AE}" pid="4" name="KSOTemplateDocerSaveRecord">
    <vt:lpwstr>eyJoZGlkIjoiMTNlNTg2NWRkZmY0NTUzNjBjNjIzMGJhNGY2ZmJmMTQiLCJ1c2VySWQiOiI3MDQ1OTM0NTIifQ==</vt:lpwstr>
  </property>
</Properties>
</file>